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5.png" ContentType="image/png"/>
  <Override PartName="/word/media/rId126.png" ContentType="image/png"/>
  <Override PartName="/word/media/rId113.jpg" ContentType="image/jpeg"/>
  <Override PartName="/word/media/rId85.png" ContentType="image/png"/>
  <Override PartName="/word/media/rId79.png" ContentType="image/png"/>
  <Override PartName="/word/media/rId64.png" ContentType="image/png"/>
  <Override PartName="/word/media/rId135.png" ContentType="image/png"/>
  <Override PartName="/word/media/rId60.png" ContentType="image/png"/>
  <Override PartName="/word/media/rId107.png" ContentType="image/png"/>
  <Override PartName="/word/media/rId50.png" ContentType="image/png"/>
  <Override PartName="/word/media/rId72.png" ContentType="image/png"/>
  <Override PartName="/word/media/rId101.png" ContentType="image/png"/>
  <Override PartName="/word/media/rId94.png" ContentType="image/png"/>
  <Override PartName="/word/media/rId119.png" ContentType="image/png"/>
  <Override PartName="/word/media/rId140.png" ContentType="image/png"/>
  <Override PartName="/word/media/rId89.png" ContentType="image/png"/>
  <Override PartName="/word/media/rId154.jpg" ContentType="image/jpeg"/>
  <Override PartName="/word/media/rId158.jpg" ContentType="image/jpeg"/>
  <Override PartName="/word/media/rId163.jpg" ContentType="image/jpeg"/>
  <Override PartName="/word/media/rId173.jpg" ContentType="image/jpeg"/>
  <Override PartName="/word/media/rId178.jpg" ContentType="image/jpeg"/>
  <Override PartName="/word/media/rId183.jpg" ContentType="image/jpeg"/>
  <Override PartName="/word/media/rId191.jpg" ContentType="image/jpeg"/>
  <Override PartName="/word/media/rId195.jpg" ContentType="image/jpeg"/>
  <Override PartName="/word/media/rId200.jpg" ContentType="image/jpeg"/>
  <Override PartName="/word/media/rId150.png" ContentType="image/png"/>
  <Override PartName="/word/media/rId187.png" ContentType="image/png"/>
  <Override PartName="/word/media/rId207.png" ContentType="image/png"/>
  <Override PartName="/word/media/rId219.png" ContentType="image/png"/>
  <Override PartName="/word/media/rId279.png" ContentType="image/png"/>
  <Override PartName="/word/media/rId284.png" ContentType="image/png"/>
  <Override PartName="/word/media/rId289.png" ContentType="image/png"/>
  <Override PartName="/word/media/rId295.png" ContentType="image/png"/>
  <Override PartName="/word/media/rId299.png" ContentType="image/png"/>
  <Override PartName="/word/media/rId229.png" ContentType="image/png"/>
  <Override PartName="/word/media/rId236.png" ContentType="image/png"/>
  <Override PartName="/word/media/rId252.png" ContentType="image/png"/>
  <Override PartName="/word/media/rId257.png" ContentType="image/png"/>
  <Override PartName="/word/media/rId261.png" ContentType="image/png"/>
  <Override PartName="/word/media/rId265.png" ContentType="image/png"/>
  <Override PartName="/word/media/rId269.png" ContentType="image/png"/>
  <Override PartName="/word/media/rId274.png" ContentType="image/png"/>
  <Override PartName="/word/media/rId224.png" ContentType="image/png"/>
  <Override PartName="/word/media/rId240.png" ContentType="image/png"/>
  <Override PartName="/word/media/rId348.png" ContentType="image/png"/>
  <Override PartName="/word/media/rId338.png" ContentType="image/png"/>
  <Override PartName="/word/media/rId316.png" ContentType="image/png"/>
  <Override PartName="/word/media/rId326.png" ContentType="image/png"/>
  <Override PartName="/word/media/rId352.png" ContentType="image/png"/>
  <Override PartName="/word/media/rId334.png" ContentType="image/png"/>
  <Override PartName="/word/media/rId311.png" ContentType="image/png"/>
  <Override PartName="/word/media/rId367.png" ContentType="image/png"/>
  <Override PartName="/word/media/rId343.png" ContentType="image/png"/>
  <Override PartName="/word/media/rId380.png" ContentType="image/png"/>
  <Override PartName="/word/media/rId375.png" ContentType="image/png"/>
  <Override PartName="/word/media/rId441.png" ContentType="image/png"/>
  <Override PartName="/word/media/rId428.png" ContentType="image/png"/>
  <Override PartName="/word/media/rId388.png" ContentType="image/png"/>
  <Override PartName="/word/media/rId395.png" ContentType="image/png"/>
  <Override PartName="/word/media/rId422.png" ContentType="image/png"/>
  <Override PartName="/word/media/rId433.png" ContentType="image/png"/>
  <Override PartName="/word/media/rId437.png" ContentType="image/png"/>
  <Override PartName="/word/media/rId454.png" ContentType="image/png"/>
  <Override PartName="/word/media/rId399.png" ContentType="image/png"/>
  <Override PartName="/word/media/rId418.png" ContentType="image/png"/>
  <Override PartName="/word/media/rId413.png" ContentType="image/png"/>
  <Override PartName="/word/media/rId462.jpg" ContentType="image/jpeg"/>
  <Override PartName="/word/media/rId23.png" ContentType="image/png"/>
  <Override PartName="/word/media/rId30.png" ContentType="image/png"/>
  <Override PartName="/word/media/rId40.png" ContentType="image/png"/>
  <Override PartName="/word/media/rId37.png" ContentType="image/png"/>
  <Override PartName="/word/media/rId44.png" ContentType="image/png"/>
  <Override PartName="/word/media/rId33.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9"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48" w:name="project-related-to-the-thesis."/>
    <w:p>
      <w:pPr>
        <w:pStyle w:val="Heading2"/>
      </w:pPr>
      <w:r>
        <w:t xml:space="preserve">Project related to the thesis.</w:t>
      </w:r>
    </w:p>
    <w:bookmarkStart w:id="36"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2377440" cy="2377440"/>
            <wp:effectExtent b="0" l="0" r="0" t="0"/>
            <wp:docPr descr="" title="" id="31" name="Picture"/>
            <a:graphic>
              <a:graphicData uri="http://schemas.openxmlformats.org/drawingml/2006/picture">
                <pic:pic>
                  <pic:nvPicPr>
                    <pic:cNvPr descr="images/ESA_Logo.png" id="32" name="Picture"/>
                    <pic:cNvPicPr>
                      <a:picLocks noChangeArrowheads="1" noChangeAspect="1"/>
                    </pic:cNvPicPr>
                  </pic:nvPicPr>
                  <pic:blipFill>
                    <a:blip r:embed="rId30"/>
                    <a:stretch>
                      <a:fillRect/>
                    </a:stretch>
                  </pic:blipFill>
                  <pic:spPr bwMode="auto">
                    <a:xfrm>
                      <a:off x="0" y="0"/>
                      <a:ext cx="2377440" cy="2377440"/>
                    </a:xfrm>
                    <a:prstGeom prst="rect">
                      <a:avLst/>
                    </a:prstGeom>
                    <a:noFill/>
                    <a:ln w="9525">
                      <a:noFill/>
                      <a:headEnd/>
                      <a:tailEnd/>
                    </a:ln>
                  </pic:spPr>
                </pic:pic>
              </a:graphicData>
            </a:graphic>
          </wp:inline>
        </w:drawing>
      </w:r>
    </w:p>
    <w:p>
      <w:pPr>
        <w:pStyle w:val="BodyText"/>
      </w:pPr>
      <w:r>
        <w:drawing>
          <wp:inline>
            <wp:extent cx="5943600" cy="1040130"/>
            <wp:effectExtent b="0" l="0" r="0" t="0"/>
            <wp:docPr descr="" title="" id="34" name="Picture"/>
            <a:graphic>
              <a:graphicData uri="http://schemas.openxmlformats.org/drawingml/2006/picture">
                <pic:pic>
                  <pic:nvPicPr>
                    <pic:cNvPr descr="images/logos_BICOME.png" id="35" name="Picture"/>
                    <pic:cNvPicPr>
                      <a:picLocks noChangeArrowheads="1" noChangeAspect="1"/>
                    </pic:cNvPicPr>
                  </pic:nvPicPr>
                  <pic:blipFill>
                    <a:blip r:embed="rId33"/>
                    <a:stretch>
                      <a:fillRect/>
                    </a:stretch>
                  </pic:blipFill>
                  <pic:spPr bwMode="auto">
                    <a:xfrm>
                      <a:off x="0" y="0"/>
                      <a:ext cx="5943600" cy="1040130"/>
                    </a:xfrm>
                    <a:prstGeom prst="rect">
                      <a:avLst/>
                    </a:prstGeom>
                    <a:noFill/>
                    <a:ln w="9525">
                      <a:noFill/>
                      <a:headEnd/>
                      <a:tailEnd/>
                    </a:ln>
                  </pic:spPr>
                </pic:pic>
              </a:graphicData>
            </a:graphic>
          </wp:inline>
        </w:drawing>
      </w:r>
    </w:p>
    <w:p>
      <w:r>
        <w:br w:type="page"/>
      </w:r>
    </w:p>
    <w:bookmarkEnd w:id="36"/>
    <w:bookmarkStart w:id="43" w:name="rewrite"/>
    <w:p>
      <w:pPr>
        <w:pStyle w:val="Heading3"/>
      </w:pPr>
      <w:r>
        <w:t xml:space="preserve">Rewrite</w:t>
      </w:r>
    </w:p>
    <w:p>
      <w:pPr>
        <w:pStyle w:val="FirstParagraph"/>
      </w:pPr>
      <w:r>
        <w:drawing>
          <wp:inline>
            <wp:extent cx="5943600" cy="1256605"/>
            <wp:effectExtent b="0" l="0" r="0" t="0"/>
            <wp:docPr descr="" title="" id="38" name="Picture"/>
            <a:graphic>
              <a:graphicData uri="http://schemas.openxmlformats.org/drawingml/2006/picture">
                <pic:pic>
                  <pic:nvPicPr>
                    <pic:cNvPr descr="images/Rewrite_banner.png" id="39" name="Picture"/>
                    <pic:cNvPicPr>
                      <a:picLocks noChangeArrowheads="1" noChangeAspect="1"/>
                    </pic:cNvPicPr>
                  </pic:nvPicPr>
                  <pic:blipFill>
                    <a:blip r:embed="rId37"/>
                    <a:stretch>
                      <a:fillRect/>
                    </a:stretch>
                  </pic:blipFill>
                  <pic:spPr bwMode="auto">
                    <a:xfrm>
                      <a:off x="0" y="0"/>
                      <a:ext cx="5943600" cy="1256605"/>
                    </a:xfrm>
                    <a:prstGeom prst="rect">
                      <a:avLst/>
                    </a:prstGeom>
                    <a:noFill/>
                    <a:ln w="9525">
                      <a:noFill/>
                      <a:headEnd/>
                      <a:tailEnd/>
                    </a:ln>
                  </pic:spPr>
                </pic:pic>
              </a:graphicData>
            </a:graphic>
          </wp:inline>
        </w:drawing>
      </w:r>
    </w:p>
    <w:p>
      <w:pPr>
        <w:pStyle w:val="BodyText"/>
      </w:pP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p>
      <w:pPr>
        <w:pStyle w:val="BodyText"/>
      </w:pPr>
      <w:r>
        <w:drawing>
          <wp:inline>
            <wp:extent cx="1831853" cy="732741"/>
            <wp:effectExtent b="0" l="0" r="0" t="0"/>
            <wp:docPr descr="" title="" id="41" name="Picture"/>
            <a:graphic>
              <a:graphicData uri="http://schemas.openxmlformats.org/drawingml/2006/picture">
                <pic:pic>
                  <pic:nvPicPr>
                    <pic:cNvPr descr="images/EU_Logo.png" id="42" name="Picture"/>
                    <pic:cNvPicPr>
                      <a:picLocks noChangeArrowheads="1" noChangeAspect="1"/>
                    </pic:cNvPicPr>
                  </pic:nvPicPr>
                  <pic:blipFill>
                    <a:blip r:embed="rId40"/>
                    <a:stretch>
                      <a:fillRect/>
                    </a:stretch>
                  </pic:blipFill>
                  <pic:spPr bwMode="auto">
                    <a:xfrm>
                      <a:off x="0" y="0"/>
                      <a:ext cx="1831853" cy="732741"/>
                    </a:xfrm>
                    <a:prstGeom prst="rect">
                      <a:avLst/>
                    </a:prstGeom>
                    <a:noFill/>
                    <a:ln w="9525">
                      <a:noFill/>
                      <a:headEnd/>
                      <a:tailEnd/>
                    </a:ln>
                  </pic:spPr>
                </pic:pic>
              </a:graphicData>
            </a:graphic>
          </wp:inline>
        </w:drawing>
      </w:r>
    </w:p>
    <w:bookmarkEnd w:id="43"/>
    <w:bookmarkStart w:id="47"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p>
      <w:pPr>
        <w:pStyle w:val="BodyText"/>
      </w:pPr>
      <w:r>
        <w:drawing>
          <wp:inline>
            <wp:extent cx="2377440" cy="2377440"/>
            <wp:effectExtent b="0" l="0" r="0" t="0"/>
            <wp:docPr descr="" title="" id="45" name="Picture"/>
            <a:graphic>
              <a:graphicData uri="http://schemas.openxmlformats.org/drawingml/2006/picture">
                <pic:pic>
                  <pic:nvPicPr>
                    <pic:cNvPr descr="images/cnes_logo.png" id="46" name="Picture"/>
                    <pic:cNvPicPr>
                      <a:picLocks noChangeArrowheads="1" noChangeAspect="1"/>
                    </pic:cNvPicPr>
                  </pic:nvPicPr>
                  <pic:blipFill>
                    <a:blip r:embed="rId44"/>
                    <a:stretch>
                      <a:fillRect/>
                    </a:stretch>
                  </pic:blipFill>
                  <pic:spPr bwMode="auto">
                    <a:xfrm>
                      <a:off x="0" y="0"/>
                      <a:ext cx="2377440" cy="2377440"/>
                    </a:xfrm>
                    <a:prstGeom prst="rect">
                      <a:avLst/>
                    </a:prstGeom>
                    <a:noFill/>
                    <a:ln w="9525">
                      <a:noFill/>
                      <a:headEnd/>
                      <a:tailEnd/>
                    </a:ln>
                  </pic:spPr>
                </pic:pic>
              </a:graphicData>
            </a:graphic>
          </wp:inline>
        </w:drawing>
      </w:r>
    </w:p>
    <w:bookmarkEnd w:id="47"/>
    <w:bookmarkEnd w:id="48"/>
    <w:bookmarkEnd w:id="49"/>
    <w:bookmarkStart w:id="147" w:name="introduction"/>
    <w:p>
      <w:pPr>
        <w:pStyle w:val="Heading1"/>
      </w:pPr>
      <w:r>
        <w:t xml:space="preserve">1. Introduction</w:t>
      </w:r>
    </w:p>
    <w:bookmarkStart w:id="7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54"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w:t>
      </w:r>
      <w:r>
        <w:t xml:space="preserve"> </w:t>
      </w:r>
      <w:r>
        <w:t xml:space="preserve">(Hobohm et al., 2021)</w:t>
      </w:r>
      <w:r>
        <w:t xml:space="preserve">. The functionality of many coastal ecosystems is intrinsically linked to land-sea interactions, as observed in deltas and estuaries</w:t>
      </w:r>
      <w:r>
        <w:t xml:space="preserve"> </w:t>
      </w:r>
      <w:r>
        <w:t xml:space="preserve">(Elliott and Whitfield, 2011)</w:t>
      </w:r>
      <w:r>
        <w:t xml:space="preserve">.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w:t>
      </w:r>
      <w:r>
        <w:t xml:space="preserve"> </w:t>
      </w:r>
      <w:r>
        <w:t xml:space="preserve">(Murray et al., 2019)</w:t>
      </w:r>
      <w:r>
        <w:t xml:space="preserve">. However, these areas are also exposed to a variety of land-based and marine hazards, including storms, tropical cyclones, storm surges, tsunamis, riverine flooding, shoreline erosion, sea-level rise and biohazards such as algal blooms and pollutants</w:t>
      </w:r>
      <w:r>
        <w:t xml:space="preserve"> </w:t>
      </w:r>
      <w:r>
        <w:t xml:space="preserve">(Mukhopadhyay et al., 2012)</w:t>
      </w:r>
      <w:r>
        <w:t xml:space="preserve">.</w:t>
      </w:r>
    </w:p>
    <w:tbl>
      <w:tblPr>
        <w:tblStyle w:val="Table"/>
        <w:tblW w:type="pct" w:w="5000"/>
        <w:tblLayout w:type="fixed"/>
        <w:tblLook w:firstRow="0" w:lastRow="0" w:firstColumn="0" w:lastColumn="0" w:noHBand="0" w:noVBand="0" w:val="0000"/>
      </w:tblPr>
      <w:tblGrid>
        <w:gridCol w:w="7920"/>
      </w:tblGrid>
      <w:tr>
        <w:tc>
          <w:tcPr/>
          <w:bookmarkStart w:id="53" w:name="fig-CoastalHabitat"/>
          <w:p>
            <w:pPr>
              <w:pStyle w:val="Compact"/>
              <w:jc w:val="center"/>
            </w:pPr>
            <w:r>
              <w:drawing>
                <wp:inline>
                  <wp:extent cx="5884164" cy="4413123"/>
                  <wp:effectExtent b="0" l="0" r="0" t="0"/>
                  <wp:docPr descr="" title="" id="51" name="Picture"/>
                  <a:graphic>
                    <a:graphicData uri="http://schemas.openxmlformats.org/drawingml/2006/picture">
                      <pic:pic>
                        <pic:nvPicPr>
                          <pic:cNvPr descr="Chapter1/Figs/Picture_habitat/CoastalHabitats_Lowres.png" id="52" name="Picture"/>
                          <pic:cNvPicPr>
                            <a:picLocks noChangeArrowheads="1" noChangeAspect="1"/>
                          </pic:cNvPicPr>
                        </pic:nvPicPr>
                        <pic:blipFill>
                          <a:blip r:embed="rId50"/>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53"/>
        </w:tc>
      </w:tr>
    </w:tbl>
    <w:p>
      <w:pPr>
        <w:pStyle w:val="BodyText"/>
      </w:pPr>
      <w:r>
        <w:t xml:space="preserve">Coastal ecosystems provide a range of ecosystem services that are fundamental to environmental sustainability and human well-being</w:t>
      </w:r>
      <w:r>
        <w:t xml:space="preserve"> </w:t>
      </w:r>
      <w:r>
        <w:t xml:space="preserve">(Barbier et al., 2011)</w:t>
      </w:r>
      <w:r>
        <w:t xml:space="preserve">. These ecosystems function as natural barriers against storm surges and coastal flooding</w:t>
      </w:r>
      <w:r>
        <w:t xml:space="preserve"> </w:t>
      </w:r>
      <w:r>
        <w:t xml:space="preserve">(Barbier, 2015)</w:t>
      </w:r>
      <w:r>
        <w:t xml:space="preserve">, thereby mitigating the impacts of such hazards on inland regions and safeguarding human lives and infrastructure</w:t>
      </w:r>
      <w:r>
        <w:t xml:space="preserve"> </w:t>
      </w:r>
      <w:r>
        <w:t xml:space="preserve">(Cooley et al., 2023)</w:t>
      </w:r>
      <w:r>
        <w:t xml:space="preserve">. They support significant biodiversity, serving as critical habitats and breeding grounds for numerous species, including commercially valuable fish, shellfish, and other marine organisms that sustain global fisheries</w:t>
      </w:r>
      <w:r>
        <w:t xml:space="preserve"> </w:t>
      </w:r>
      <w:r>
        <w:t xml:space="preserve">(Rodrigues-Filho et al., 2023)</w:t>
      </w:r>
      <w:r>
        <w:t xml:space="preserve">. Coastal vegetation, including mangroves</w:t>
      </w:r>
      <w:r>
        <w:t xml:space="preserve"> </w:t>
      </w:r>
      <w:r>
        <w:t xml:space="preserve">(Alongi, 2012)</w:t>
      </w:r>
      <w:r>
        <w:t xml:space="preserve">, salt marshes</w:t>
      </w:r>
      <w:r>
        <w:t xml:space="preserve"> </w:t>
      </w:r>
      <w:r>
        <w:t xml:space="preserve">(Connor et al., 2001)</w:t>
      </w:r>
      <w:r>
        <w:t xml:space="preserve">, and seagrasses</w:t>
      </w:r>
      <w:r>
        <w:t xml:space="preserve"> </w:t>
      </w:r>
      <w:r>
        <w:t xml:space="preserve">(Fourqurean et al., 2012)</w:t>
      </w:r>
      <w:r>
        <w:t xml:space="preserve">,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w:t>
      </w:r>
      <w:r>
        <w:t xml:space="preserve"> </w:t>
      </w:r>
      <w:r>
        <w:t xml:space="preserve">(Los Santos et al., 2020)</w:t>
      </w:r>
      <w:r>
        <w:t xml:space="preserve">. These ecosystems are integral to nutrient cycling, ensuring the continued productivity of adjacent marine environments</w:t>
      </w:r>
      <w:r>
        <w:t xml:space="preserve"> </w:t>
      </w:r>
      <w:r>
        <w:t xml:space="preserve">(Nixon, 1981)</w:t>
      </w:r>
      <w:r>
        <w:t xml:space="preserve">. Additionally, they provide substantial cultural, educational, and recreational opportunities, drawing global attention and fostering an intrinsic human connection to nature</w:t>
      </w:r>
      <w:r>
        <w:t xml:space="preserve"> </w:t>
      </w:r>
      <w:r>
        <w:t xml:space="preserve">(Cao et al., 2022; Lakshmi, 2021)</w:t>
      </w:r>
      <w:r>
        <w:t xml:space="preserve">. This societal value contributes directly to local and regional economies through industries such as tourism, artisanal fishing, and related enterprises</w:t>
      </w:r>
      <w:r>
        <w:t xml:space="preserve"> </w:t>
      </w:r>
      <w:r>
        <w:t xml:space="preserve">(Martı́nez et al., 2007; Otrachshenko and Bosello, 2017)</w:t>
      </w:r>
      <w:r>
        <w:t xml:space="preserve">. Furthermore, coastal ecosystems supply essential natural resources, including seafood and plant-based materials, while supporting sustainable aquaculture practices that promote global food security and bolster local livelihoods</w:t>
      </w:r>
      <w:r>
        <w:t xml:space="preserve"> </w:t>
      </w:r>
      <w:r>
        <w:t xml:space="preserve">(Farmery et al., 2022)</w:t>
      </w:r>
      <w:r>
        <w:t xml:space="preserve">. Collectively, these functions highlight the indispensable ecological and economic importance of coastal ecosystems.</w:t>
      </w:r>
    </w:p>
    <w:bookmarkEnd w:id="54"/>
    <w:bookmarkStart w:id="5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w:t>
      </w:r>
      <w:hyperlink w:anchor="fig-CoastalPop">
        <w:r>
          <w:rPr>
            <w:rStyle w:val="Hyperlink"/>
          </w:rPr>
          <w:t xml:space="preserve">Figure 1.2</w:t>
        </w:r>
      </w:hyperlink>
      <w:r>
        <w:t xml:space="preserve"> </w:t>
      </w:r>
      <w:r>
        <w:t xml:space="preserve">;</w:t>
      </w:r>
      <w:r>
        <w:t xml:space="preserve"> </w:t>
      </w:r>
      <w:r>
        <w:t xml:space="preserve">Cosby et al. (2024)</w:t>
      </w:r>
      <w:r>
        <w:t xml:space="preserve">).</w:t>
      </w:r>
    </w:p>
    <w:tbl>
      <w:tblPr>
        <w:tblStyle w:val="Table"/>
        <w:tblW w:type="pct" w:w="5000"/>
        <w:tblLayout w:type="fixed"/>
        <w:tblLook w:firstRow="0" w:lastRow="0" w:firstColumn="0" w:lastColumn="0" w:noHBand="0" w:noVBand="0" w:val="0000"/>
      </w:tblPr>
      <w:tblGrid>
        <w:gridCol w:w="7920"/>
      </w:tblGrid>
      <w:tr>
        <w:tc>
          <w:tcPr/>
          <w:bookmarkStart w:id="58" w:name="fig-CoastalPop"/>
          <w:p>
            <w:pPr>
              <w:pStyle w:val="Compact"/>
              <w:jc w:val="center"/>
            </w:pPr>
            <w:r>
              <w:drawing>
                <wp:inline>
                  <wp:extent cx="5884164" cy="3033262"/>
                  <wp:effectExtent b="0" l="0" r="0" t="0"/>
                  <wp:docPr descr="" title="" id="56" name="Picture"/>
                  <a:graphic>
                    <a:graphicData uri="http://schemas.openxmlformats.org/drawingml/2006/picture">
                      <pic:pic>
                        <pic:nvPicPr>
                          <pic:cNvPr descr="Chapter1/Figs/CoastalPopulation.png" id="57" name="Picture"/>
                          <pic:cNvPicPr>
                            <a:picLocks noChangeArrowheads="1" noChangeAspect="1"/>
                          </pic:cNvPicPr>
                        </pic:nvPicPr>
                        <pic:blipFill>
                          <a:blip r:embed="rId55"/>
                          <a:stretch>
                            <a:fillRect/>
                          </a:stretch>
                        </pic:blipFill>
                        <pic:spPr bwMode="auto">
                          <a:xfrm>
                            <a:off x="0" y="0"/>
                            <a:ext cx="5884164" cy="30332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Global coastal population curve (CoPop curve) expressed as population estimates in 5 km bands. From</w:t>
            </w:r>
            <w:r>
              <w:t xml:space="preserve"> </w:t>
            </w:r>
            <w:r>
              <w:t xml:space="preserve">Cosby et al. (2024)</w:t>
            </w:r>
          </w:p>
          <w:bookmarkEnd w:id="58"/>
        </w:tc>
      </w:tr>
    </w:tbl>
    <w:p>
      <w:pPr>
        <w:pStyle w:val="BodyText"/>
      </w:pPr>
      <w:r>
        <w:t xml:space="preserve">This represents nearly 15% of the global population occupying only 4% of the Earth’s inhabitable landmass. Projections indicate that coastal populations will continue to rise, potentially reaching 2.9 billion by 2100 under various socioeconomic scenarios</w:t>
      </w:r>
      <w:r>
        <w:t xml:space="preserve"> </w:t>
      </w:r>
      <w:r>
        <w:t xml:space="preserve">(Reimann et al., 2023)</w:t>
      </w:r>
      <w:r>
        <w:t xml:space="preserve">.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 Coastal tourism is a significant driver of economic growth, particularly in regions like the European Union (EU). In 2021, the EU’s coastal tourism sector generated approximately €49.9 billion in Gross Value Added (GVA) and employed around 1.9 million people</w:t>
      </w:r>
      <w:r>
        <w:t xml:space="preserve"> </w:t>
      </w:r>
      <w:r>
        <w:t xml:space="preserve">(Eurostat, 2023)</w:t>
      </w:r>
      <w:r>
        <w:t xml:space="preserve">. Coastal fishing 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w:t>
      </w:r>
      <w:r>
        <w:t xml:space="preserve"> </w:t>
      </w:r>
      <w:r>
        <w:t xml:space="preserve">(Reuters, 2024)</w:t>
      </w:r>
      <w:r>
        <w:t xml:space="preserve">. Additionally, maritime shipping 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w:t>
      </w:r>
      <w:r>
        <w:t xml:space="preserve"> </w:t>
      </w:r>
      <w:r>
        <w:t xml:space="preserve">(Union, 2025)</w:t>
      </w:r>
      <w:r>
        <w:t xml:space="preserv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(Faber et al.,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w:t>
      </w:r>
      <w:r>
        <w:t xml:space="preserve"> </w:t>
      </w:r>
      <w:r>
        <w:t xml:space="preserve">(Reeves et al., 2014)</w:t>
      </w:r>
      <w:r>
        <w:t xml:space="preserve">. Elevated noise levels can disrupt communication, navigation, and feeding behaviors, leading to increased stress and altered migration patterns</w:t>
      </w:r>
      <w:r>
        <w:t xml:space="preserve"> </w:t>
      </w:r>
      <w:r>
        <w:t xml:space="preserve">(Nowacek et al., 2007)</w:t>
      </w:r>
      <w:r>
        <w:t xml:space="preserve">. Chronic exposure to underwater noise can also result in physical harm and population-level impacts</w:t>
      </w:r>
      <w:r>
        <w:t xml:space="preserve"> </w:t>
      </w:r>
      <w:r>
        <w:t xml:space="preserve">(Guan and Brookens, 2023)</w:t>
      </w:r>
      <w:r>
        <w:t xml:space="preserve">.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(Desai and Shambaugh, 2021; Ranjan et al., 2023)</w:t>
      </w:r>
      <w:r>
        <w:t xml:space="preserve">. The expansion of aquaculture operations often involves converting coastal wetlands, into fish or shrimp ponds, or constructing structures over mudflats</w:t>
      </w:r>
      <w:r>
        <w:t xml:space="preserve"> </w:t>
      </w:r>
      <w:r>
        <w:t xml:space="preserve">(Ahmed and Glaser, 2016)</w:t>
      </w:r>
      <w:r>
        <w:t xml:space="preserve">.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w:t>
      </w:r>
      <w:r>
        <w:t xml:space="preserve"> </w:t>
      </w:r>
      <w:r>
        <w:t xml:space="preserve">(Hagger et al., 2022)</w:t>
      </w:r>
      <w:r>
        <w:t xml:space="preserve">. Additionally, aquaculture activities contribute to nutrient enrichment and pollution in adjacent waters through the release of uneaten feed, faeces, and chemical additives, exacerbating eutrophication and altering benthic community structures</w:t>
      </w:r>
      <w:r>
        <w:t xml:space="preserve"> </w:t>
      </w:r>
      <w:r>
        <w:t xml:space="preserve">(Karakassis et al., 2005)</w:t>
      </w:r>
      <w:r>
        <w:t xml:space="preserve">. Another significant concern is the introduction of alien invasive species into the environment through aquaculture, which can disrupt local ecosystems and biodiversity</w:t>
      </w:r>
      <w:r>
        <w:t xml:space="preserve"> </w:t>
      </w:r>
      <w:r>
        <w:t xml:space="preserve">(Wolff and Reise, 2002)</w:t>
      </w:r>
      <w:r>
        <w:t xml:space="preserve">.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59"/>
    <w:bookmarkStart w:id="7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3" w:name="fig-TidalFlats"/>
          <w:p>
            <w:pPr>
              <w:pStyle w:val="Compact"/>
              <w:jc w:val="center"/>
            </w:pPr>
            <w:r>
              <w:drawing>
                <wp:inline>
                  <wp:extent cx="5943600" cy="4445497"/>
                  <wp:effectExtent b="0" l="0" r="0" t="0"/>
                  <wp:docPr descr="" title="" id="61" name="Picture"/>
                  <a:graphic>
                    <a:graphicData uri="http://schemas.openxmlformats.org/drawingml/2006/picture">
                      <pic:pic>
                        <pic:nvPicPr>
                          <pic:cNvPr descr="Chapter1/Figs/Murray_Tidalflats.png" id="62" name="Picture"/>
                          <pic:cNvPicPr>
                            <a:picLocks noChangeArrowheads="1" noChangeAspect="1"/>
                          </pic:cNvPicPr>
                        </pic:nvPicPr>
                        <pic:blipFill>
                          <a:blip r:embed="rId6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6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1.4</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67" w:name="fig-Vegetations_intro"/>
          <w:p>
            <w:pPr>
              <w:pStyle w:val="Compact"/>
              <w:jc w:val="center"/>
            </w:pPr>
            <w:r>
              <w:drawing>
                <wp:inline>
                  <wp:extent cx="4754880" cy="7130391"/>
                  <wp:effectExtent b="0" l="0" r="0" t="0"/>
                  <wp:docPr descr="" title="" id="65" name="Picture"/>
                  <a:graphic>
                    <a:graphicData uri="http://schemas.openxmlformats.org/drawingml/2006/picture">
                      <pic:pic>
                        <pic:nvPicPr>
                          <pic:cNvPr descr="Chapter1/Figs/MPB/Figs_vegetations.png" id="66" name="Picture"/>
                          <pic:cNvPicPr>
                            <a:picLocks noChangeArrowheads="1" noChangeAspect="1"/>
                          </pic:cNvPicPr>
                        </pic:nvPicPr>
                        <pic:blipFill>
                          <a:blip r:embed="rId6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67"/>
        </w:tc>
      </w:tr>
    </w:tbl>
    <w:bookmarkStart w:id="6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1.4</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68"/>
    <w:bookmarkStart w:id="6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1.4</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69"/>
    <w:bookmarkStart w:id="7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1.4</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70"/>
    <w:bookmarkStart w:id="7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1.4</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71"/>
    <w:bookmarkStart w:id="7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1.4</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1.5</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1.5</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However, spectral discrimination challenges arise when similar pigment compositions, such as those of seagrasses and green macroalgae, create overlapping spectral signatures in the visible and near-infrared regions. This issue is further compounded by vegetation mixing, where heterogeneous habitats result in mixed pixels that blend signals from multiple vegetation types and substrates.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75" w:name="fig-SeagrassHabitat"/>
          <w:p>
            <w:pPr>
              <w:pStyle w:val="Compact"/>
              <w:jc w:val="center"/>
            </w:pPr>
            <w:r>
              <w:drawing>
                <wp:inline>
                  <wp:extent cx="5943600" cy="7991317"/>
                  <wp:effectExtent b="0" l="0" r="0" t="0"/>
                  <wp:docPr descr="" title="" id="73" name="Picture"/>
                  <a:graphic>
                    <a:graphicData uri="http://schemas.openxmlformats.org/drawingml/2006/picture">
                      <pic:pic>
                        <pic:nvPicPr>
                          <pic:cNvPr descr="Chapter1/Figs/Publication_habitat/Seagrass_habitats.png" id="74" name="Picture"/>
                          <pic:cNvPicPr>
                            <a:picLocks noChangeArrowheads="1" noChangeAspect="1"/>
                          </pic:cNvPicPr>
                        </pic:nvPicPr>
                        <pic:blipFill>
                          <a:blip r:embed="rId7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75"/>
        </w:tc>
      </w:tr>
    </w:tbl>
    <w:bookmarkEnd w:id="76"/>
    <w:bookmarkEnd w:id="77"/>
    <w:bookmarkEnd w:id="78"/>
    <w:bookmarkStart w:id="145"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8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1.6</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82" w:name="fig-LIDAR"/>
          <w:p>
            <w:pPr>
              <w:pStyle w:val="Compact"/>
              <w:jc w:val="center"/>
            </w:pPr>
            <w:r>
              <w:drawing>
                <wp:inline>
                  <wp:extent cx="4160520" cy="4147803"/>
                  <wp:effectExtent b="0" l="0" r="0" t="0"/>
                  <wp:docPr descr="" title="" id="80" name="Picture"/>
                  <a:graphic>
                    <a:graphicData uri="http://schemas.openxmlformats.org/drawingml/2006/picture">
                      <pic:pic>
                        <pic:nvPicPr>
                          <pic:cNvPr descr="Chapter1/Figs/LIDAR.png" id="81" name="Picture"/>
                          <pic:cNvPicPr>
                            <a:picLocks noChangeArrowheads="1" noChangeAspect="1"/>
                          </pic:cNvPicPr>
                        </pic:nvPicPr>
                        <pic:blipFill>
                          <a:blip r:embed="rId7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8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83"/>
    <w:bookmarkStart w:id="10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1.7</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8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8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FigLightPath"/>
          <w:p>
            <w:pPr>
              <w:pStyle w:val="Compact"/>
              <w:jc w:val="center"/>
            </w:pPr>
            <w:r>
              <w:drawing>
                <wp:inline>
                  <wp:extent cx="5349240" cy="4260589"/>
                  <wp:effectExtent b="0" l="0" r="0" t="0"/>
                  <wp:docPr descr="" title="" id="86" name="Picture"/>
                  <a:graphic>
                    <a:graphicData uri="http://schemas.openxmlformats.org/drawingml/2006/picture">
                      <pic:pic>
                        <pic:nvPicPr>
                          <pic:cNvPr descr="Chapter1/Figs/FigLightPath.png" id="87" name="Picture"/>
                          <pic:cNvPicPr>
                            <a:picLocks noChangeArrowheads="1" noChangeAspect="1"/>
                          </pic:cNvPicPr>
                        </pic:nvPicPr>
                        <pic:blipFill>
                          <a:blip r:embed="rId8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8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2" w:name="fig-Spectral_signature"/>
          <w:p>
            <w:pPr>
              <w:pStyle w:val="Compact"/>
              <w:jc w:val="center"/>
            </w:pPr>
            <w:r>
              <w:drawing>
                <wp:inline>
                  <wp:extent cx="4754880" cy="3987354"/>
                  <wp:effectExtent b="0" l="0" r="0" t="0"/>
                  <wp:docPr descr="" title="" id="90" name="Picture"/>
                  <a:graphic>
                    <a:graphicData uri="http://schemas.openxmlformats.org/drawingml/2006/picture">
                      <pic:pic>
                        <pic:nvPicPr>
                          <pic:cNvPr descr="Chapter1/Figs/spectral_signatures.png" id="91" name="Picture"/>
                          <pic:cNvPicPr>
                            <a:picLocks noChangeArrowheads="1" noChangeAspect="1"/>
                          </pic:cNvPicPr>
                        </pic:nvPicPr>
                        <pic:blipFill>
                          <a:blip r:embed="rId8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The spectral signature of vegetation (green), Water (blue) and bare soil (red). Absorption features of Chlorophyll-a are indicated for the spectra of vegetation.</w:t>
            </w:r>
          </w:p>
          <w:bookmarkEnd w:id="9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9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9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9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7" w:name="fig-Spectral_resolutions"/>
          <w:p>
            <w:pPr>
              <w:pStyle w:val="Compact"/>
              <w:jc w:val="center"/>
            </w:pPr>
            <w:r>
              <w:drawing>
                <wp:inline>
                  <wp:extent cx="5943600" cy="3130355"/>
                  <wp:effectExtent b="0" l="0" r="0" t="0"/>
                  <wp:docPr descr="" title="" id="95" name="Picture"/>
                  <a:graphic>
                    <a:graphicData uri="http://schemas.openxmlformats.org/drawingml/2006/picture">
                      <pic:pic>
                        <pic:nvPicPr>
                          <pic:cNvPr descr="Chapter1/Figs/Spectra_resolutions/Fig_SpectralResolution_chouchou.png" id="96" name="Picture"/>
                          <pic:cNvPicPr>
                            <a:picLocks noChangeArrowheads="1" noChangeAspect="1"/>
                          </pic:cNvPicPr>
                        </pic:nvPicPr>
                        <pic:blipFill>
                          <a:blip r:embed="rId9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9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1.9</w:t>
        </w:r>
      </w:hyperlink>
      <w:r>
        <w:t xml:space="preserve"> </w:t>
      </w:r>
      <w:r>
        <w:t xml:space="preserve">D).</w:t>
      </w:r>
    </w:p>
    <w:bookmarkEnd w:id="98"/>
    <w:bookmarkStart w:id="9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99"/>
    <w:bookmarkStart w:id="10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1.10</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100"/>
    <w:bookmarkStart w:id="10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1.10</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104" w:name="fig-ResolutionSatellite"/>
          <w:p>
            <w:pPr>
              <w:pStyle w:val="Compact"/>
              <w:jc w:val="center"/>
            </w:pPr>
            <w:r>
              <w:drawing>
                <wp:inline>
                  <wp:extent cx="5943600" cy="3500222"/>
                  <wp:effectExtent b="0" l="0" r="0" t="0"/>
                  <wp:docPr descr="" title="" id="102" name="Picture"/>
                  <a:graphic>
                    <a:graphicData uri="http://schemas.openxmlformats.org/drawingml/2006/picture">
                      <pic:pic>
                        <pic:nvPicPr>
                          <pic:cNvPr descr="Chapter1/Figs/Satellite_resolution.png" id="103" name="Picture"/>
                          <pic:cNvPicPr>
                            <a:picLocks noChangeArrowheads="1" noChangeAspect="1"/>
                          </pic:cNvPicPr>
                        </pic:nvPicPr>
                        <pic:blipFill>
                          <a:blip r:embed="rId10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Intersection of spectral resolutions (x-axis), temporal resolutions (y-axis), and spatial resolutions (circle size) of the main satellite sensors used to observe coastal areas.</w:t>
            </w:r>
          </w:p>
          <w:bookmarkEnd w:id="10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105"/>
    <w:bookmarkEnd w:id="106"/>
    <w:bookmarkStart w:id="134" w:name="about-drones"/>
    <w:p>
      <w:pPr>
        <w:pStyle w:val="Heading3"/>
      </w:pPr>
      <w:r>
        <w:t xml:space="preserve">1.2.3 About Drones</w:t>
      </w:r>
    </w:p>
    <w:bookmarkStart w:id="11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1.11</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10" w:name="fig-pigeons"/>
          <w:p>
            <w:pPr>
              <w:pStyle w:val="Compact"/>
              <w:jc w:val="center"/>
            </w:pPr>
            <w:r>
              <w:drawing>
                <wp:inline>
                  <wp:extent cx="5349240" cy="4997316"/>
                  <wp:effectExtent b="0" l="0" r="0" t="0"/>
                  <wp:docPr descr="" title="" id="108" name="Picture"/>
                  <a:graphic>
                    <a:graphicData uri="http://schemas.openxmlformats.org/drawingml/2006/picture">
                      <pic:pic>
                        <pic:nvPicPr>
                          <pic:cNvPr descr="Chapter1/Figs/Neubronners/pigeons_compositions.png" id="109" name="Picture"/>
                          <pic:cNvPicPr>
                            <a:picLocks noChangeArrowheads="1" noChangeAspect="1"/>
                          </pic:cNvPicPr>
                        </pic:nvPicPr>
                        <pic:blipFill>
                          <a:blip r:embed="rId10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One of Neubronner’s pigeons (Top), around 1910 equipped with a camera. The bottom shows a picture taken during a pigeon’s flight.</w:t>
            </w:r>
          </w:p>
          <w:bookmarkEnd w:id="11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1.11</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11"/>
    <w:bookmarkStart w:id="11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12"/>
    <w:bookmarkStart w:id="11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16" w:name="fig-overlaps"/>
          <w:p>
            <w:pPr>
              <w:pStyle w:val="Compact"/>
              <w:jc w:val="center"/>
            </w:pPr>
            <w:r>
              <w:drawing>
                <wp:inline>
                  <wp:extent cx="4533595" cy="4057192"/>
                  <wp:effectExtent b="0" l="0" r="0" t="0"/>
                  <wp:docPr descr="" title="" id="114" name="Picture"/>
                  <a:graphic>
                    <a:graphicData uri="http://schemas.openxmlformats.org/drawingml/2006/picture">
                      <pic:pic>
                        <pic:nvPicPr>
                          <pic:cNvPr descr="Chapter1/Figs/Drone_overlaps.jpg" id="115" name="Picture"/>
                          <pic:cNvPicPr>
                            <a:picLocks noChangeArrowheads="1" noChangeAspect="1"/>
                          </pic:cNvPicPr>
                        </pic:nvPicPr>
                        <pic:blipFill>
                          <a:blip r:embed="rId11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overlapping of a drone</w:t>
            </w:r>
          </w:p>
          <w:bookmarkEnd w:id="116"/>
        </w:tc>
      </w:tr>
    </w:tbl>
    <w:p>
      <w:pPr>
        <w:pStyle w:val="BodyText"/>
      </w:pPr>
      <w:r>
        <w:t xml:space="preserve">A key parameter in drone-based image acquisition is the overlap between images (</w:t>
      </w:r>
      <w:hyperlink w:anchor="fig-overlaps">
        <w:r>
          <w:rPr>
            <w:rStyle w:val="Hyperlink"/>
          </w:rPr>
          <w:t xml:space="preserve">Figure 1.12</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1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1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18"/>
    <w:bookmarkStart w:id="13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2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1.13</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22" w:name="fig-img_preprocessing"/>
          <w:p>
            <w:pPr>
              <w:pStyle w:val="Compact"/>
              <w:jc w:val="center"/>
            </w:pPr>
            <w:r>
              <w:drawing>
                <wp:inline>
                  <wp:extent cx="5349240" cy="4071863"/>
                  <wp:effectExtent b="0" l="0" r="0" t="0"/>
                  <wp:docPr descr="" title="" id="120" name="Picture"/>
                  <a:graphic>
                    <a:graphicData uri="http://schemas.openxmlformats.org/drawingml/2006/picture">
                      <pic:pic>
                        <pic:nvPicPr>
                          <pic:cNvPr descr="Chapter1/Figs/distortion.png" id="121" name="Picture"/>
                          <pic:cNvPicPr>
                            <a:picLocks noChangeArrowheads="1" noChangeAspect="1"/>
                          </pic:cNvPicPr>
                        </pic:nvPicPr>
                        <pic:blipFill>
                          <a:blip r:embed="rId11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Schematic representation of image pre-processing for orthomosaic reconstruction, showing correction of the distortion (A &amp; B) and correction of the vignetting (C &amp; D).</w:t>
            </w:r>
          </w:p>
          <w:bookmarkEnd w:id="12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23"/>
    <w:bookmarkStart w:id="12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24"/>
    <w:bookmarkStart w:id="12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25"/>
    <w:bookmarkStart w:id="13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29" w:name="fig-DSMDTM"/>
          <w:p>
            <w:pPr>
              <w:pStyle w:val="Compact"/>
              <w:jc w:val="center"/>
            </w:pPr>
            <w:r>
              <w:drawing>
                <wp:inline>
                  <wp:extent cx="5349240" cy="2673633"/>
                  <wp:effectExtent b="0" l="0" r="0" t="0"/>
                  <wp:docPr descr="" title="" id="127" name="Picture"/>
                  <a:graphic>
                    <a:graphicData uri="http://schemas.openxmlformats.org/drawingml/2006/picture">
                      <pic:pic>
                        <pic:nvPicPr>
                          <pic:cNvPr descr="Chapter1/Figs/DSM_DTM.png" id="128" name="Picture"/>
                          <pic:cNvPicPr>
                            <a:picLocks noChangeArrowheads="1" noChangeAspect="1"/>
                          </pic:cNvPicPr>
                        </pic:nvPicPr>
                        <pic:blipFill>
                          <a:blip r:embed="rId12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Representation of differences between the Digital Surface Model (DSM), the Digital Terrain model (DTM) and the Digital Height Model (DHM).</w:t>
            </w:r>
          </w:p>
          <w:bookmarkEnd w:id="129"/>
        </w:tc>
      </w:tr>
    </w:tbl>
    <w:bookmarkEnd w:id="130"/>
    <w:bookmarkStart w:id="13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31"/>
    <w:bookmarkStart w:id="13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p>
      <w:pPr>
        <w:pStyle w:val="BodyText"/>
      </w:pPr>
      <w:r>
        <w:t xml:space="preserve">The high-resolution maps generated through photogrammetry provide an essential basis for understanding spatial patterns and environmental features. However, to extract meaningful information from these datasets and address specific research or management questions, advanced analytical methods are required. The next section will focus on the machine learning techniques used to process and interpret these maps, transforming raw data into valuable insights for a range of applications.</w:t>
      </w:r>
    </w:p>
    <w:bookmarkEnd w:id="132"/>
    <w:bookmarkEnd w:id="133"/>
    <w:bookmarkEnd w:id="134"/>
    <w:bookmarkStart w:id="139" w:name="machine-learning"/>
    <w:p>
      <w:pPr>
        <w:pStyle w:val="Heading3"/>
      </w:pPr>
      <w:r>
        <w:t xml:space="preserve">1.2.4 Machine Learning</w:t>
      </w:r>
    </w:p>
    <w:p>
      <w:pPr>
        <w:pStyle w:val="FirstParagraph"/>
      </w:pPr>
      <w:r>
        <w:t xml:space="preserve">Machine learning, a subfield of artificial intelligence (AI), involves the creation of computer systems capable of executing tasks that traditionally require human cognition, such as reasoning, problem-solving, and decision-making</w:t>
      </w:r>
      <w:r>
        <w:t xml:space="preserve"> </w:t>
      </w:r>
      <w:r>
        <w:t xml:space="preserve">(Sarker, 2021)</w:t>
      </w:r>
      <w:r>
        <w:t xml:space="preserve">. It encompasses the simulation of human-like intelligence in machines, enabling them to identify patterns and make data-driven predictions. The field originated in the mid-20th century, rooted in pattern recognition and the formulation of adaptive algorithms that refine their operations through iterative learning. Early contributions by pioneers such as Alan Turing and Arthur Samuel established the conceptual and practical foundation of the discipline. Alan Turing’s development of the Turing Machine in 1936 represents one of the earliest instances of computational models capable of executing algorithmic processes. The Turing Machine was designed as a theoretical construct to simulate the logic of any computer algorithm, utilizing a tape for memory and a set of rules for operations. While initially intended as a tool for exploring the limits of computation, the principles behind the Turing Machine laid the groundwork for modern machine learning and deep learning</w:t>
      </w:r>
      <w:r>
        <w:t xml:space="preserve"> </w:t>
      </w:r>
      <w:r>
        <w:t xml:space="preserve">(Malekmohamadi Faradonbe et al., 2020)</w:t>
      </w:r>
      <w:r>
        <w:t xml:space="preserve">. Turing’s emphasis on computation and learning inspired subsequent advancements in artificial intelligence, including the design of systems capable of adaptive and predictive behaviors. Notably, Samuel’s development of a checkers-playing program in the 1950s demonstrated a machine’s ability to improve its performance autonomously through learning processes.</w:t>
      </w:r>
    </w:p>
    <w:p>
      <w:pPr>
        <w:pStyle w:val="BodyText"/>
      </w:pPr>
      <w:r>
        <w:t xml:space="preserve">At its core, machine learning involves the development of models—mathematical representations of data relationships—that can identify structures and trends within datasets. These models are trained on data using various techniques. Supervised learning is a method wherein models are trained on labeled datasets, with each input paired to a specific output. This framework enables the algorithm to establish explicit mappings between inputs and their corresponding outcomes. Applications include classification tasks, such as categorizing images or text, and regression, where the objective is to predict continuous variables like temperature or stock prices. The accuracy of supervised models depends significantly on the quality and quantity of labeled data available for training.</w:t>
      </w:r>
    </w:p>
    <w:p>
      <w:pPr>
        <w:pStyle w:val="BodyText"/>
      </w:pPr>
      <w:r>
        <w:t xml:space="preserve">Unsupervised learning, on the other hand, functions without labeled data, enabling models to discern patterns or structures inherent in the dataset. It is often applied in clustering, where similar data points are grouped together, and in dimensionality reduction, which simplifies datasets by highlighting their most significant features. This approach is particularly valuable in domains where labeled data is scarce or costly to generate, offering a means to uncover underlying patterns and relationships within complex datasets.</w:t>
      </w:r>
    </w:p>
    <w:p>
      <w:pPr>
        <w:pStyle w:val="BodyText"/>
      </w:pPr>
      <w:r>
        <w:t xml:space="preserve">A notable example of supervised machine learning is the Random Forest algorithm, developed by Leo Breiman in 2001</w:t>
      </w:r>
      <w:r>
        <w:t xml:space="preserve"> </w:t>
      </w:r>
      <w:r>
        <w:t xml:space="preserve">(Breiman, 2001)</w:t>
      </w:r>
      <w:r>
        <w:t xml:space="preserve">. This learning technique constructs multiple decision trees during training by drawing random subsets of the training data with replacement (a process known as bagging) and selecting a random subset of features at each split. Each tree independently outputs a class prediction (in classification tasks) or a mean prediction (in regression tasks), and the Random Forest aggregates these predictions by majority voting or averaging. This approach enhances the robustness of the model by reducing variance and mitigating overfitting (</w:t>
      </w:r>
      <w:hyperlink w:anchor="fig-learningRates">
        <w:r>
          <w:rPr>
            <w:rStyle w:val="Hyperlink"/>
          </w:rPr>
          <w:t xml:space="preserve">Figure 1.15</w:t>
        </w:r>
      </w:hyperlink>
      <w:r>
        <w:t xml:space="preserve"> </w:t>
      </w:r>
      <w:r>
        <w:t xml:space="preserve">X). Additionally, Random Forest provides a measure of feature importance, which can be leveraged to identify the most influential variables in a dataset. Random Forest is widely recognized for its robustness, ability to handle high-dimensional data, and resistance to overfitting, making it particularly effective in domains such as remote sensing and bioinformatics. However, the algorithm has its limitations. Random Forest can be computationally intensive, especially with large datasets or a high number of trees, which may increase training time and resource requirements. Additionally, Random Forest can face challenges with highly imbalanced datasets, as it tends to favor the majority class unless specific measures, such as resampling techniques or adjusting class weights, are implemented to address the imbalance effectively. Ensuring a balanced dataset or applying these corrective strategies is crucial for improving the model’s performance in such scenarios</w:t>
      </w:r>
      <w:r>
        <w:t xml:space="preserve"> </w:t>
      </w:r>
      <w:r>
        <w:t xml:space="preserve">(Zhu, 2020)</w:t>
      </w:r>
      <w:r>
        <w:t xml:space="preserve">. Furthermore, while Random Forest provides feature importance measures, these can sometimes be biased toward variables with more levels or higher variability, potentially misleading the interpretation of results. Finally, the model’s ensemble nature makes it less interpretable compared to simpler models like individual decision trees.</w:t>
      </w:r>
    </w:p>
    <w:p>
      <w:pPr>
        <w:pStyle w:val="BodyText"/>
      </w:pPr>
      <w:r>
        <w:t xml:space="preserve">Neural networks, an essential component of deep learning, are inspired by the structure and function of biological neural networks in the human brain</w:t>
      </w:r>
      <w:r>
        <w:t xml:space="preserve"> </w:t>
      </w:r>
      <w:r>
        <w:t xml:space="preserve">(Abiodun et al., 2018)</w:t>
      </w:r>
      <w:r>
        <w:t xml:space="preserve">. These computational models consist of interconnected nodes, or neurons, organized into layers that process and transform data through weighted connections. Originating in the mid-20th century with early work by researchers such as Warren McCulloch</w:t>
      </w:r>
      <w:r>
        <w:t xml:space="preserve"> </w:t>
      </w:r>
      <w:r>
        <w:t xml:space="preserve">(McCulloch and Pitts, 1943)</w:t>
      </w:r>
      <w:r>
        <w:t xml:space="preserve"> </w:t>
      </w:r>
      <w:r>
        <w:t xml:space="preserve">and Walter Pitts</w:t>
      </w:r>
      <w:r>
        <w:t xml:space="preserve"> </w:t>
      </w:r>
      <w:r>
        <w:t xml:space="preserve">(Pitts, 1943)</w:t>
      </w:r>
      <w:r>
        <w:t xml:space="preserve">, neural networks initially struggled with computational limitations and theoretical challenges. The development of backpropagation in the 1980s, a method for optimizing weights by minimizing error, marked a significant breakthrough</w:t>
      </w:r>
      <w:r>
        <w:t xml:space="preserve"> </w:t>
      </w:r>
      <w:r>
        <w:t xml:space="preserve">(Werbos, 1974)</w:t>
      </w:r>
      <w:r>
        <w:t xml:space="preserve">.</w:t>
      </w:r>
    </w:p>
    <w:p>
      <w:pPr>
        <w:pStyle w:val="BodyText"/>
      </w:pPr>
      <w:r>
        <w:t xml:space="preserve">Neural networks are particularly novel due to their ability to model complex, non-linear relationships in data</w:t>
      </w:r>
      <w:r>
        <w:t xml:space="preserve"> </w:t>
      </w:r>
      <w:r>
        <w:t xml:space="preserve">(Mienye et al., 2024)</w:t>
      </w:r>
      <w:r>
        <w:t xml:space="preserve">. They operate through an input layer that receives data, one or more hidden layers that extract features and learn representations, and an output layer that delivers predictions or classifications</w:t>
      </w:r>
      <w:r>
        <w:t xml:space="preserve"> </w:t>
      </w:r>
      <w:r>
        <w:t xml:space="preserve">(Werbos, 1974)</w:t>
      </w:r>
      <w:r>
        <w:t xml:space="preserve">. Each connection between neurons forms the basis of neural computation, where neurons are the fundamental units inspired by biological nerve cells. In artificial neural networks, a neuron receives input signals, processes them using a mathematical function, and transmits the output to connected neurons. This process is governed by adjustable weights that determine the strength of connections, and an activation function introduces non-linearity, enabling the network to model complex relationships within data. The learning rate, a crucial hyperparameter, dictates how much the model adjusts its weights in response to the error during training. Choosing an appropriate learning rate is essential; a rate that is too high may cause the model to converge erratically or not at all, while a rate that is too low results in slow training and potential stagnation in local minima.</w:t>
      </w:r>
    </w:p>
    <w:p>
      <w:pPr>
        <w:pStyle w:val="BodyText"/>
      </w:pPr>
      <w:r>
        <w:t xml:space="preserve">The learning curve, which represents the model’s performance over time, provides critical insights into training dynamics (</w:t>
      </w:r>
      <w:hyperlink w:anchor="fig-learningRates">
        <w:r>
          <w:rPr>
            <w:rStyle w:val="Hyperlink"/>
          </w:rPr>
          <w:t xml:space="preserve">Figure 1.15</w:t>
        </w:r>
      </w:hyperlink>
      <w:r>
        <w:t xml:space="preserve">). A steep decline in training loss paired with a significant gap between training and validation loss often signals overfitting, where the model memorizes training data but fails to generalize to unseen data. Conversely, a flat learning curve with high training and validation losses indicates underfitting, where the model is too simplistic to capture underlying patterns. Addressing overfitting often involves techniques such as regularization, dropout, and early stopping, whereas underfitting may require enhancing model complexity, increasing data volume, or improving data quality. By carefully monitoring and tuning these aspects, neural networks can achieve robust performance across diverse applications.</w:t>
      </w:r>
    </w:p>
    <w:tbl>
      <w:tblPr>
        <w:tblStyle w:val="Table"/>
        <w:tblW w:type="pct" w:w="5000"/>
        <w:tblLayout w:type="fixed"/>
        <w:tblLook w:firstRow="0" w:lastRow="0" w:firstColumn="0" w:lastColumn="0" w:noHBand="0" w:noVBand="0" w:val="0000"/>
      </w:tblPr>
      <w:tblGrid>
        <w:gridCol w:w="7920"/>
      </w:tblGrid>
      <w:tr>
        <w:tc>
          <w:tcPr/>
          <w:bookmarkStart w:id="138" w:name="fig-learningRates"/>
          <w:p>
            <w:pPr>
              <w:pStyle w:val="Compact"/>
              <w:jc w:val="center"/>
            </w:pPr>
            <w:r>
              <w:drawing>
                <wp:inline>
                  <wp:extent cx="5349240" cy="4137643"/>
                  <wp:effectExtent b="0" l="0" r="0" t="0"/>
                  <wp:docPr descr="" title="" id="136" name="Picture"/>
                  <a:graphic>
                    <a:graphicData uri="http://schemas.openxmlformats.org/drawingml/2006/picture">
                      <pic:pic>
                        <pic:nvPicPr>
                          <pic:cNvPr descr="Chapter1/Figs/Model_fitting.png" id="137" name="Picture"/>
                          <pic:cNvPicPr>
                            <a:picLocks noChangeArrowheads="1" noChangeAspect="1"/>
                          </pic:cNvPicPr>
                        </pic:nvPicPr>
                        <pic:blipFill>
                          <a:blip r:embed="rId135"/>
                          <a:stretch>
                            <a:fillRect/>
                          </a:stretch>
                        </pic:blipFill>
                        <pic:spPr bwMode="auto">
                          <a:xfrm>
                            <a:off x="0" y="0"/>
                            <a:ext cx="5349240" cy="41376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Representation of the impact of Under- Optimal- and Over-fitting on Regression and Classification machine learning models. The bottom row shows a representation of the learning curve of each scenario.</w:t>
            </w:r>
          </w:p>
          <w:bookmarkEnd w:id="138"/>
        </w:tc>
      </w:tr>
    </w:tbl>
    <w:p>
      <w:pPr>
        <w:pStyle w:val="BodyText"/>
      </w:pPr>
      <w:r>
        <w:t xml:space="preserve">The primary advantage of neural networks lies in their versatility and performance across a wide range of tasks, from image recognition to natural language processing. They are capable of learning directly from raw data, reducing the need for extensive feature engineering. However, their application is not without limitations</w:t>
      </w:r>
      <w:r>
        <w:t xml:space="preserve"> </w:t>
      </w:r>
      <w:r>
        <w:t xml:space="preserve">(Cheng and Titterington, 1994; Kattenborn et al., 2021; Yuan et al., 2021)</w:t>
      </w:r>
      <w:r>
        <w:t xml:space="preserve">. Neural networks are computationally intensive, requiring significant processing power and large datasets for effective training. They are also prone to overfitting, especially with small datasets, and their decision-making processes can be opaque, often referred to as the</w:t>
      </w:r>
      <w:r>
        <w:t xml:space="preserve"> </w:t>
      </w:r>
      <w:r>
        <w:t xml:space="preserve">“black box”</w:t>
      </w:r>
      <w:r>
        <w:t xml:space="preserve"> </w:t>
      </w:r>
      <w:r>
        <w:t xml:space="preserve">problem. Despite these challenges, advancements in architectures, such as convolutional and recurrent neural networks, and optimization techniques continue to expand their applicability and effectiveness across domains.</w:t>
      </w:r>
    </w:p>
    <w:p>
      <w:pPr>
        <w:pStyle w:val="BodyText"/>
      </w:pPr>
      <w:r>
        <w:t xml:space="preserve">Over the decades, the field has undergone remarkable transformations, driven by increases in computational power, the availability of large datasets, and theoretical advancements. Initially, traditional machine learning methods, such as decision trees and support vector machines, dominated the landscape. However, the past two decades have seen the rise of deep learning, a subset of machine learning characterized by its use of neural networks with multiple layers. This paradigm shift has enabled significant breakthroughs, particularly in areas such as image recognition, natural language processing, and autonomous systems.</w:t>
      </w:r>
    </w:p>
    <w:p>
      <w:pPr>
        <w:pStyle w:val="BodyText"/>
      </w:pPr>
      <w:r>
        <w:t xml:space="preserve">The utility of machine learning lies in its adaptability and scalability across disciplines. From enabling predictive analytics in healthcare to enhancing environmental monitoring through RS, machine learning has become an indispensable tool for extracting actionable insights from complex datasets. This section provides a foundation for understanding how machine learning techniques are applied to convert data, such as those obtained through drone mapping, into informative and usable outputs.</w:t>
      </w:r>
    </w:p>
    <w:bookmarkEnd w:id="139"/>
    <w:bookmarkStart w:id="144" w:name="X6e0637a84264a80c0e5f6545e17679d348073aa"/>
    <w:p>
      <w:pPr>
        <w:pStyle w:val="Heading3"/>
      </w:pPr>
      <w:r>
        <w:t xml:space="preserve">1.2.5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sensitive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1.16)</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ecosystem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43" w:name="fig-MullerKarger"/>
          <w:p>
            <w:pPr>
              <w:pStyle w:val="Compact"/>
              <w:jc w:val="center"/>
            </w:pPr>
            <w:r>
              <w:drawing>
                <wp:inline>
                  <wp:extent cx="5370954" cy="3613620"/>
                  <wp:effectExtent b="0" l="0" r="0" t="0"/>
                  <wp:docPr descr="" title="" id="141" name="Picture"/>
                  <a:graphic>
                    <a:graphicData uri="http://schemas.openxmlformats.org/drawingml/2006/picture">
                      <pic:pic>
                        <pic:nvPicPr>
                          <pic:cNvPr descr="Chapter1/Figs/muller_EBVs.png" id="142" name="Picture"/>
                          <pic:cNvPicPr>
                            <a:picLocks noChangeArrowheads="1" noChangeAspect="1"/>
                          </pic:cNvPicPr>
                        </pic:nvPicPr>
                        <pic:blipFill>
                          <a:blip r:embed="rId140"/>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43"/>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vegetation or phytoplankton types</w:t>
      </w:r>
      <w:r>
        <w:t xml:space="preserve"> </w:t>
      </w:r>
      <w:r>
        <w:t xml:space="preserve">(Fyfe, 2003; Launeau et al., 2018; Méléder et al., 2018)</w:t>
      </w:r>
      <w:r>
        <w:t xml:space="preserve">. Identification relies partly on the presence of spectral absorption bands in the visible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44"/>
    <w:bookmarkEnd w:id="145"/>
    <w:bookmarkStart w:id="146"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RS.</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observations,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future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46"/>
    <w:bookmarkEnd w:id="147"/>
    <w:bookmarkStart w:id="216" w:name="X2a43c79c57fbde6f1894e77d006f46c799fd383"/>
    <w:p>
      <w:pPr>
        <w:pStyle w:val="Heading1"/>
      </w:pPr>
      <w:r>
        <w:t xml:space="preserve">2. Multispectral and hyperspectral classification of intertidal vegetation using a spectral library for coastal biodiversity remote sensing</w:t>
      </w:r>
    </w:p>
    <w:bookmarkStart w:id="148" w:name="abstract"/>
    <w:p>
      <w:pPr>
        <w:pStyle w:val="Heading2"/>
      </w:pPr>
      <w:r>
        <w:t xml:space="preserve">Abstract</w:t>
      </w:r>
    </w:p>
    <w:p>
      <w:pPr>
        <w:pStyle w:val="FirstParagraph"/>
      </w:pPr>
      <w:r>
        <w:t xml:space="preserve">Monitoring biodiversity and how anthropogenic pressures impact this is critical, especially as anthropogenically driven climate change continues to affect all ecosystems. Intertidal areas are exposed to particularly high levels of pressures owing to increased population density in coastal areas. Traditional methods of monitoring intertidal areas do not provide datasets with full coverage in a cost-effective or timely manner, and so the use of remote sensing to monitor these areas is becoming more common. Monitoring of ecologically important monospecific habitats, such as seagrass beds, using remote sensing techniques is well documented. However, the ability for multispectral data to distinguish efficiently and accurately between classes of vegetation with similar pigment composition, such as seagrass and green algae, has proved difficult, often requiring hyperspectral data. A machine learning approach was used to differentiate between soft-bottom intertidal vegetation classes when exposed at low tide, comparing 6 different multi- and hyperspectral remote and in situ sensors. For the library of 366 spectra, collected across Northern Europe, high accuracy (&gt;80%) was found across all spectral resolutions. While a higher spectral resolution resulted in higher accuracy, there was no discernible increase in accuracy above 10 spectral bands (95%: Sentinel-2 MSI sensor with a spatial resolution of 20 m). This work highlights the ability of multispectral sensors to discriminate intertidal vegetation types, while also showing the most important wavelengths for this discrimination (∼530 and ∼ 730 nm), giving recommendations for spectral ranges of future satellite missions. The ability for multispectral sensors to aid in accurate and rapid intertidal vegetation classification at the taxonomic resolution of classes, could be a significant contribution for future sustainable and effective ecosystem management.</w:t>
      </w:r>
    </w:p>
    <w:bookmarkEnd w:id="148"/>
    <w:bookmarkStart w:id="149"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49"/>
    <w:bookmarkStart w:id="172" w:name="materials-and-methods"/>
    <w:p>
      <w:pPr>
        <w:pStyle w:val="Heading2"/>
      </w:pPr>
      <w:r>
        <w:t xml:space="preserve">2.2 Materials and Methods</w:t>
      </w:r>
    </w:p>
    <w:bookmarkStart w:id="162"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53"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51" name="Picture"/>
                  <a:graphic>
                    <a:graphicData uri="http://schemas.openxmlformats.org/drawingml/2006/picture">
                      <pic:pic>
                        <pic:nvPicPr>
                          <pic:cNvPr descr="Chapter2/Figs/SPECIESTABLE.png" id="152" name="Picture"/>
                          <pic:cNvPicPr>
                            <a:picLocks noChangeArrowheads="1" noChangeAspect="1"/>
                          </pic:cNvPicPr>
                        </pic:nvPicPr>
                        <pic:blipFill>
                          <a:blip r:embed="rId150"/>
                          <a:stretch>
                            <a:fillRect/>
                          </a:stretch>
                        </pic:blipFill>
                        <pic:spPr bwMode="auto">
                          <a:xfrm>
                            <a:off x="0" y="0"/>
                            <a:ext cx="5646420" cy="3556919"/>
                          </a:xfrm>
                          <a:prstGeom prst="rect">
                            <a:avLst/>
                          </a:prstGeom>
                          <a:noFill/>
                          <a:ln w="9525">
                            <a:noFill/>
                            <a:headEnd/>
                            <a:tailEnd/>
                          </a:ln>
                        </pic:spPr>
                      </pic:pic>
                    </a:graphicData>
                  </a:graphic>
                </wp:inline>
              </w:drawing>
            </w:r>
          </w:p>
          <w:bookmarkEnd w:id="153"/>
        </w:tc>
      </w:tr>
    </w:tbl>
    <w:tbl>
      <w:tblPr>
        <w:tblStyle w:val="Table"/>
        <w:tblW w:type="pct" w:w="5000"/>
        <w:tblLayout w:type="fixed"/>
        <w:tblLook w:firstRow="0" w:lastRow="0" w:firstColumn="0" w:lastColumn="0" w:noHBand="0" w:noVBand="0" w:val="0000"/>
      </w:tblPr>
      <w:tblGrid>
        <w:gridCol w:w="7920"/>
      </w:tblGrid>
      <w:tr>
        <w:tc>
          <w:tcPr/>
          <w:bookmarkStart w:id="157" w:name="fig-Images"/>
          <w:p>
            <w:pPr>
              <w:pStyle w:val="Compact"/>
              <w:jc w:val="center"/>
            </w:pPr>
            <w:r>
              <w:drawing>
                <wp:inline>
                  <wp:extent cx="5401056" cy="3444240"/>
                  <wp:effectExtent b="0" l="0" r="0" t="0"/>
                  <wp:docPr descr="" title="" id="155" name="Picture"/>
                  <a:graphic>
                    <a:graphicData uri="http://schemas.openxmlformats.org/drawingml/2006/picture">
                      <pic:pic>
                        <pic:nvPicPr>
                          <pic:cNvPr descr="Chapter2/Figs/Figure1.jpg" id="156" name="Picture"/>
                          <pic:cNvPicPr>
                            <a:picLocks noChangeArrowheads="1" noChangeAspect="1"/>
                          </pic:cNvPicPr>
                        </pic:nvPicPr>
                        <pic:blipFill>
                          <a:blip r:embed="rId154"/>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57"/>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61" w:name="fig-FIGMAP"/>
          <w:p>
            <w:pPr>
              <w:pStyle w:val="Compact"/>
              <w:jc w:val="center"/>
            </w:pPr>
            <w:r>
              <w:drawing>
                <wp:inline>
                  <wp:extent cx="5466283" cy="5027371"/>
                  <wp:effectExtent b="0" l="0" r="0" t="0"/>
                  <wp:docPr descr="" title="" id="159" name="Picture"/>
                  <a:graphic>
                    <a:graphicData uri="http://schemas.openxmlformats.org/drawingml/2006/picture">
                      <pic:pic>
                        <pic:nvPicPr>
                          <pic:cNvPr descr="Chapter2/Figs/Figure2.jpg" id="160" name="Picture"/>
                          <pic:cNvPicPr>
                            <a:picLocks noChangeArrowheads="1" noChangeAspect="1"/>
                          </pic:cNvPicPr>
                        </pic:nvPicPr>
                        <pic:blipFill>
                          <a:blip r:embed="rId158"/>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61"/>
        </w:tc>
      </w:tr>
    </w:tbl>
    <w:bookmarkEnd w:id="162"/>
    <w:bookmarkStart w:id="171" w:name="data-analysis"/>
    <w:p>
      <w:pPr>
        <w:pStyle w:val="Heading3"/>
      </w:pPr>
      <w:r>
        <w:t xml:space="preserve">2.2.2 Data Analysis</w:t>
      </w:r>
    </w:p>
    <w:bookmarkStart w:id="167"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66" w:name="fig-SpectraDegFIG"/>
          <w:p>
            <w:pPr>
              <w:pStyle w:val="Compact"/>
              <w:jc w:val="center"/>
            </w:pPr>
            <w:r>
              <w:drawing>
                <wp:inline>
                  <wp:extent cx="5646420" cy="5741879"/>
                  <wp:effectExtent b="0" l="0" r="0" t="0"/>
                  <wp:docPr descr="" title="" id="164" name="Picture"/>
                  <a:graphic>
                    <a:graphicData uri="http://schemas.openxmlformats.org/drawingml/2006/picture">
                      <pic:pic>
                        <pic:nvPicPr>
                          <pic:cNvPr descr="Chapter2/Figs/Figure3.jpg" id="165" name="Picture"/>
                          <pic:cNvPicPr>
                            <a:picLocks noChangeArrowheads="1" noChangeAspect="1"/>
                          </pic:cNvPicPr>
                        </pic:nvPicPr>
                        <pic:blipFill>
                          <a:blip r:embed="rId163"/>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66"/>
        </w:tc>
      </w:tr>
    </w:tbl>
    <w:bookmarkEnd w:id="167"/>
    <w:bookmarkStart w:id="169"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68"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68"/>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69"/>
    <w:bookmarkStart w:id="170"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70"/>
    <w:bookmarkEnd w:id="171"/>
    <w:bookmarkEnd w:id="172"/>
    <w:bookmarkStart w:id="205" w:name="results"/>
    <w:p>
      <w:pPr>
        <w:pStyle w:val="Heading2"/>
      </w:pPr>
      <w:r>
        <w:t xml:space="preserve">2.3 Results</w:t>
      </w:r>
    </w:p>
    <w:bookmarkStart w:id="177"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76" w:name="fig-SpectraFIG"/>
          <w:p>
            <w:pPr>
              <w:pStyle w:val="Compact"/>
              <w:jc w:val="center"/>
            </w:pPr>
            <w:r>
              <w:drawing>
                <wp:inline>
                  <wp:extent cx="4572000" cy="4511649"/>
                  <wp:effectExtent b="0" l="0" r="0" t="0"/>
                  <wp:docPr descr="" title="" id="174" name="Picture"/>
                  <a:graphic>
                    <a:graphicData uri="http://schemas.openxmlformats.org/drawingml/2006/picture">
                      <pic:pic>
                        <pic:nvPicPr>
                          <pic:cNvPr descr="Chapter2/Figs/Figure4.jpg" id="175" name="Picture"/>
                          <pic:cNvPicPr>
                            <a:picLocks noChangeArrowheads="1" noChangeAspect="1"/>
                          </pic:cNvPicPr>
                        </pic:nvPicPr>
                        <pic:blipFill>
                          <a:blip r:embed="rId173"/>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76"/>
        </w:tc>
      </w:tr>
    </w:tbl>
    <w:bookmarkEnd w:id="177"/>
    <w:bookmarkStart w:id="182"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81" w:name="fig-MDSFIG"/>
          <w:p>
            <w:pPr>
              <w:pStyle w:val="Compact"/>
              <w:jc w:val="center"/>
            </w:pPr>
            <w:r>
              <w:drawing>
                <wp:inline>
                  <wp:extent cx="5241340" cy="5186476"/>
                  <wp:effectExtent b="0" l="0" r="0" t="0"/>
                  <wp:docPr descr="" title="" id="179" name="Picture"/>
                  <a:graphic>
                    <a:graphicData uri="http://schemas.openxmlformats.org/drawingml/2006/picture">
                      <pic:pic>
                        <pic:nvPicPr>
                          <pic:cNvPr descr="Chapter2/Figs/Figure5.jpg" id="180" name="Picture"/>
                          <pic:cNvPicPr>
                            <a:picLocks noChangeArrowheads="1" noChangeAspect="1"/>
                          </pic:cNvPicPr>
                        </pic:nvPicPr>
                        <pic:blipFill>
                          <a:blip r:embed="rId178"/>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81"/>
        </w:tc>
      </w:tr>
    </w:tbl>
    <w:bookmarkEnd w:id="182"/>
    <w:bookmarkStart w:id="199"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6" w:name="fig-MetricsFIG"/>
          <w:p>
            <w:pPr>
              <w:pStyle w:val="Compact"/>
              <w:jc w:val="center"/>
            </w:pPr>
            <w:r>
              <w:drawing>
                <wp:inline>
                  <wp:extent cx="4998110" cy="5012740"/>
                  <wp:effectExtent b="0" l="0" r="0" t="0"/>
                  <wp:docPr descr="" title="" id="184" name="Picture"/>
                  <a:graphic>
                    <a:graphicData uri="http://schemas.openxmlformats.org/drawingml/2006/picture">
                      <pic:pic>
                        <pic:nvPicPr>
                          <pic:cNvPr descr="Chapter2/Figs/Figure6.jpg" id="185" name="Picture"/>
                          <pic:cNvPicPr>
                            <a:picLocks noChangeArrowheads="1" noChangeAspect="1"/>
                          </pic:cNvPicPr>
                        </pic:nvPicPr>
                        <pic:blipFill>
                          <a:blip r:embed="rId183"/>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86"/>
        </w:tc>
      </w:tr>
    </w:tbl>
    <w:tbl>
      <w:tblPr>
        <w:tblStyle w:val="Table"/>
        <w:tblW w:type="pct" w:w="5000"/>
        <w:tblLayout w:type="fixed"/>
        <w:tblLook w:firstRow="0" w:lastRow="0" w:firstColumn="0" w:lastColumn="0" w:noHBand="0" w:noVBand="0" w:val="0000"/>
      </w:tblPr>
      <w:tblGrid>
        <w:gridCol w:w="7920"/>
      </w:tblGrid>
      <w:tr>
        <w:tc>
          <w:tcPr/>
          <w:bookmarkStart w:id="190"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88" name="Picture"/>
                  <a:graphic>
                    <a:graphicData uri="http://schemas.openxmlformats.org/drawingml/2006/picture">
                      <pic:pic>
                        <pic:nvPicPr>
                          <pic:cNvPr descr="Chapter2/Figs/metricsTable.png" id="189" name="Picture"/>
                          <pic:cNvPicPr>
                            <a:picLocks noChangeArrowheads="1" noChangeAspect="1"/>
                          </pic:cNvPicPr>
                        </pic:nvPicPr>
                        <pic:blipFill>
                          <a:blip r:embed="rId187"/>
                          <a:stretch>
                            <a:fillRect/>
                          </a:stretch>
                        </pic:blipFill>
                        <pic:spPr bwMode="auto">
                          <a:xfrm>
                            <a:off x="0" y="0"/>
                            <a:ext cx="5646420" cy="1870321"/>
                          </a:xfrm>
                          <a:prstGeom prst="rect">
                            <a:avLst/>
                          </a:prstGeom>
                          <a:noFill/>
                          <a:ln w="9525">
                            <a:noFill/>
                            <a:headEnd/>
                            <a:tailEnd/>
                          </a:ln>
                        </pic:spPr>
                      </pic:pic>
                    </a:graphicData>
                  </a:graphic>
                </wp:inline>
              </w:drawing>
            </w:r>
          </w:p>
          <w:bookmarkEnd w:id="190"/>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94" w:name="fig-VIPFIG"/>
          <w:p>
            <w:pPr>
              <w:pStyle w:val="Compact"/>
              <w:jc w:val="center"/>
            </w:pPr>
            <w:r>
              <w:drawing>
                <wp:inline>
                  <wp:extent cx="4753051" cy="4694529"/>
                  <wp:effectExtent b="0" l="0" r="0" t="0"/>
                  <wp:docPr descr="" title="" id="192" name="Picture"/>
                  <a:graphic>
                    <a:graphicData uri="http://schemas.openxmlformats.org/drawingml/2006/picture">
                      <pic:pic>
                        <pic:nvPicPr>
                          <pic:cNvPr descr="Chapter2/Figs/Figure7.jpg" id="193" name="Picture"/>
                          <pic:cNvPicPr>
                            <a:picLocks noChangeArrowheads="1" noChangeAspect="1"/>
                          </pic:cNvPicPr>
                        </pic:nvPicPr>
                        <pic:blipFill>
                          <a:blip r:embed="rId191"/>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94"/>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98" w:name="fig-VIPFunction"/>
          <w:p>
            <w:pPr>
              <w:pStyle w:val="Compact"/>
              <w:jc w:val="center"/>
            </w:pPr>
            <w:r>
              <w:drawing>
                <wp:inline>
                  <wp:extent cx="5226710" cy="5171846"/>
                  <wp:effectExtent b="0" l="0" r="0" t="0"/>
                  <wp:docPr descr="" title="" id="196" name="Picture"/>
                  <a:graphic>
                    <a:graphicData uri="http://schemas.openxmlformats.org/drawingml/2006/picture">
                      <pic:pic>
                        <pic:nvPicPr>
                          <pic:cNvPr descr="Chapter2/Figs/Figure8.jpg" id="197" name="Picture"/>
                          <pic:cNvPicPr>
                            <a:picLocks noChangeArrowheads="1" noChangeAspect="1"/>
                          </pic:cNvPicPr>
                        </pic:nvPicPr>
                        <pic:blipFill>
                          <a:blip r:embed="rId195"/>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98"/>
        </w:tc>
      </w:tr>
    </w:tbl>
    <w:bookmarkEnd w:id="199"/>
    <w:bookmarkStart w:id="204"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203" w:name="fig-ConfMatFIG"/>
          <w:p>
            <w:pPr>
              <w:pStyle w:val="Compact"/>
              <w:jc w:val="center"/>
            </w:pPr>
            <w:r>
              <w:drawing>
                <wp:inline>
                  <wp:extent cx="4319016" cy="4306824"/>
                  <wp:effectExtent b="0" l="0" r="0" t="0"/>
                  <wp:docPr descr="" title="" id="201" name="Picture"/>
                  <a:graphic>
                    <a:graphicData uri="http://schemas.openxmlformats.org/drawingml/2006/picture">
                      <pic:pic>
                        <pic:nvPicPr>
                          <pic:cNvPr descr="Chapter2/Figs/Figure9.jpg" id="202" name="Picture"/>
                          <pic:cNvPicPr>
                            <a:picLocks noChangeArrowheads="1" noChangeAspect="1"/>
                          </pic:cNvPicPr>
                        </pic:nvPicPr>
                        <pic:blipFill>
                          <a:blip r:embed="rId200"/>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203"/>
        </w:tc>
      </w:tr>
    </w:tbl>
    <w:bookmarkEnd w:id="204"/>
    <w:bookmarkEnd w:id="205"/>
    <w:bookmarkStart w:id="215" w:name="discussion"/>
    <w:p>
      <w:pPr>
        <w:pStyle w:val="Heading2"/>
      </w:pPr>
      <w:r>
        <w:t xml:space="preserve">2.4 Discussion</w:t>
      </w:r>
    </w:p>
    <w:bookmarkStart w:id="206"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206"/>
    <w:bookmarkStart w:id="211"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210"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208" name="Picture"/>
                  <a:graphic>
                    <a:graphicData uri="http://schemas.openxmlformats.org/drawingml/2006/picture">
                      <pic:pic>
                        <pic:nvPicPr>
                          <pic:cNvPr descr="Chapter2/Figs/pigmentTable.png" id="209" name="Picture"/>
                          <pic:cNvPicPr>
                            <a:picLocks noChangeArrowheads="1" noChangeAspect="1"/>
                          </pic:cNvPicPr>
                        </pic:nvPicPr>
                        <pic:blipFill>
                          <a:blip r:embed="rId207"/>
                          <a:stretch>
                            <a:fillRect/>
                          </a:stretch>
                        </pic:blipFill>
                        <pic:spPr bwMode="auto">
                          <a:xfrm>
                            <a:off x="0" y="0"/>
                            <a:ext cx="5646420" cy="1510798"/>
                          </a:xfrm>
                          <a:prstGeom prst="rect">
                            <a:avLst/>
                          </a:prstGeom>
                          <a:noFill/>
                          <a:ln w="9525">
                            <a:noFill/>
                            <a:headEnd/>
                            <a:tailEnd/>
                          </a:ln>
                        </pic:spPr>
                      </pic:pic>
                    </a:graphicData>
                  </a:graphic>
                </wp:inline>
              </w:drawing>
            </w:r>
          </w:p>
          <w:bookmarkEnd w:id="210"/>
        </w:tc>
      </w:tr>
    </w:tbl>
    <w:bookmarkEnd w:id="211"/>
    <w:bookmarkStart w:id="212"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212"/>
    <w:bookmarkStart w:id="213"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213"/>
    <w:bookmarkStart w:id="214"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214"/>
    <w:bookmarkEnd w:id="215"/>
    <w:bookmarkEnd w:id="216"/>
    <w:bookmarkStart w:id="309" w:name="X27e1cd8292c123eed0e7ee2bdbf2cbaf1b8c277"/>
    <w:p>
      <w:pPr>
        <w:pStyle w:val="Heading1"/>
      </w:pPr>
      <w:r>
        <w:t xml:space="preserve">3. Discriminating Seagrasses from Green Macroalgae in European Intertidal Areas Using High-Resolution Multispectral Drone Imagery</w:t>
      </w:r>
    </w:p>
    <w:bookmarkStart w:id="217" w:name="abstract-1"/>
    <w:p>
      <w:pPr>
        <w:pStyle w:val="Heading2"/>
      </w:pPr>
      <w:r>
        <w:t xml:space="preserve">Abstract</w:t>
      </w:r>
    </w:p>
    <w:p>
      <w:pPr>
        <w:pStyle w:val="FirstParagraph"/>
      </w:pPr>
      <w:r>
        <w:t xml:space="preserve">Coastal areas support seagrass meadows, which offer crucial ecosystem services, including erosion control and carbon sequestration. However, these areas are increasingly impacted by human activities, leading to habitat fragmentation and seagrass decline. In situ surveys, traditionally performed to monitor these ecosystems, face limitations on temporal and spatial coverage, particularly in intertidal zones, prompting the addition of satellite data within monitoring programs. Yet, satellite remote sensing can be limited by too coarse spatial and/or spectral resolutions, making it difficult to discriminate seagrass from other macrophytes in highly heterogeneous meadows. Drone (unmanned aerial vehicle—UAV) images at a very high spatial resolution offer a promising solution to address challenges related to spatial heterogeneity and the intrapixel mixture. This study focuses on using drone acquisitions with a ten spectral band sensor similar to that onboard Sentinel-2 for mapping intertidal macrophytes at low tide (i.e., during a period of emersion) and effectively discriminating between seagrass and green macroalgae. Nine drone flights were conducted at two different altitudes (12 m and 120 m) across heterogeneous intertidal European habitats in France and Portugal, providing multispectral reflectance observation at very high spatial resolution (8 mm and 80 mm, respectively). Taking advantage of their extremely high spatial resolution, the low altitude flights were used to train a Neural Network classifier to discriminate five taxonomic classes of intertidal vegetation: Magnoliopsida (Seagrass), Chlorophyceae (Green macroalgae), Phaeophyceae (Brown algae), Rhodophyceae (Red macroalgae), and benthic Bacillariophyceae (Benthic diatoms), and validated using concomitant field measurements. Classification of drone imagery resulted in an overall accuracy of 94% across all sites and images, covering a total area of 467,000 m2. The model exhibited an accuracy of 96.4% in identifying seagrass. In particular, seagrass and green algae can be discriminated. The very high spatial resolution of the drone data made it possible to assess the influence of spatial resolution on the classification outputs, showing a limited loss in seagrass detection up to about 10 m. Altogether, our findings suggest that the MultiSpectral Instrument (MSI) onboard Sentinel-2 offers a relevant trade-off between its spatial and spectral resolution, thus offering promising perspectives for satellite remote sensing of intertidal biodiversity over larger scales.</w:t>
      </w:r>
    </w:p>
    <w:bookmarkEnd w:id="217"/>
    <w:bookmarkStart w:id="218"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18"/>
    <w:bookmarkStart w:id="251" w:name="materials-methods"/>
    <w:p>
      <w:pPr>
        <w:pStyle w:val="Heading2"/>
      </w:pPr>
      <w:r>
        <w:t xml:space="preserve">3.2 Materials &amp; Methods</w:t>
      </w:r>
    </w:p>
    <w:bookmarkStart w:id="223"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22" w:name="fig-map"/>
          <w:p>
            <w:pPr>
              <w:pStyle w:val="Compact"/>
              <w:jc w:val="center"/>
            </w:pPr>
            <w:r>
              <w:drawing>
                <wp:inline>
                  <wp:extent cx="5646420" cy="5646420"/>
                  <wp:effectExtent b="0" l="0" r="0" t="0"/>
                  <wp:docPr descr="" title="" id="220" name="Picture"/>
                  <a:graphic>
                    <a:graphicData uri="http://schemas.openxmlformats.org/drawingml/2006/picture">
                      <pic:pic>
                        <pic:nvPicPr>
                          <pic:cNvPr descr="Chapter3/Figs/Figure1.png" id="221" name="Picture"/>
                          <pic:cNvPicPr>
                            <a:picLocks noChangeArrowheads="1" noChangeAspect="1"/>
                          </pic:cNvPicPr>
                        </pic:nvPicPr>
                        <pic:blipFill>
                          <a:blip r:embed="rId219"/>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22"/>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23"/>
    <w:bookmarkStart w:id="234" w:name="field-sampling"/>
    <w:p>
      <w:pPr>
        <w:pStyle w:val="Heading3"/>
      </w:pPr>
      <w:r>
        <w:t xml:space="preserve">3.2.2 Field sampling</w:t>
      </w:r>
    </w:p>
    <w:bookmarkStart w:id="228"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27"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25" name="Picture"/>
                  <a:graphic>
                    <a:graphicData uri="http://schemas.openxmlformats.org/drawingml/2006/picture">
                      <pic:pic>
                        <pic:nvPicPr>
                          <pic:cNvPr descr="Chapter3/Figs/Table1.png" id="226" name="Picture"/>
                          <pic:cNvPicPr>
                            <a:picLocks noChangeArrowheads="1" noChangeAspect="1"/>
                          </pic:cNvPicPr>
                        </pic:nvPicPr>
                        <pic:blipFill>
                          <a:blip r:embed="rId224"/>
                          <a:stretch>
                            <a:fillRect/>
                          </a:stretch>
                        </pic:blipFill>
                        <pic:spPr bwMode="auto">
                          <a:xfrm>
                            <a:off x="0" y="0"/>
                            <a:ext cx="5646420" cy="2477358"/>
                          </a:xfrm>
                          <a:prstGeom prst="rect">
                            <a:avLst/>
                          </a:prstGeom>
                          <a:noFill/>
                          <a:ln w="9525">
                            <a:noFill/>
                            <a:headEnd/>
                            <a:tailEnd/>
                          </a:ln>
                        </pic:spPr>
                      </pic:pic>
                    </a:graphicData>
                  </a:graphic>
                </wp:inline>
              </w:drawing>
            </w:r>
          </w:p>
          <w:bookmarkEnd w:id="227"/>
        </w:tc>
      </w:tr>
    </w:tbl>
    <w:bookmarkEnd w:id="228"/>
    <w:bookmarkStart w:id="233"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32" w:name="fig-vegetation"/>
          <w:p>
            <w:pPr>
              <w:pStyle w:val="Compact"/>
              <w:jc w:val="center"/>
            </w:pPr>
            <w:r>
              <w:drawing>
                <wp:inline>
                  <wp:extent cx="5646420" cy="3952494"/>
                  <wp:effectExtent b="0" l="0" r="0" t="0"/>
                  <wp:docPr descr="" title="" id="230" name="Picture"/>
                  <a:graphic>
                    <a:graphicData uri="http://schemas.openxmlformats.org/drawingml/2006/picture">
                      <pic:pic>
                        <pic:nvPicPr>
                          <pic:cNvPr descr="Chapter3/Figs/Figure2.png" id="231" name="Picture"/>
                          <pic:cNvPicPr>
                            <a:picLocks noChangeArrowheads="1" noChangeAspect="1"/>
                          </pic:cNvPicPr>
                        </pic:nvPicPr>
                        <pic:blipFill>
                          <a:blip r:embed="rId229"/>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32"/>
        </w:tc>
      </w:tr>
    </w:tbl>
    <w:bookmarkEnd w:id="233"/>
    <w:bookmarkEnd w:id="234"/>
    <w:bookmarkStart w:id="235"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35"/>
    <w:bookmarkStart w:id="247"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workflow"/>
          <w:p>
            <w:pPr>
              <w:pStyle w:val="Compact"/>
              <w:jc w:val="center"/>
            </w:pPr>
            <w:r>
              <w:drawing>
                <wp:inline>
                  <wp:extent cx="5646420" cy="3320212"/>
                  <wp:effectExtent b="0" l="0" r="0" t="0"/>
                  <wp:docPr descr="" title="" id="237" name="Picture"/>
                  <a:graphic>
                    <a:graphicData uri="http://schemas.openxmlformats.org/drawingml/2006/picture">
                      <pic:pic>
                        <pic:nvPicPr>
                          <pic:cNvPr descr="Chapter3/Figs/Figure3.png" id="238" name="Picture"/>
                          <pic:cNvPicPr>
                            <a:picLocks noChangeArrowheads="1" noChangeAspect="1"/>
                          </pic:cNvPicPr>
                        </pic:nvPicPr>
                        <pic:blipFill>
                          <a:blip r:embed="rId236"/>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39"/>
        </w:tc>
      </w:tr>
    </w:tbl>
    <w:bookmarkStart w:id="244"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43"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41" name="Picture"/>
                  <a:graphic>
                    <a:graphicData uri="http://schemas.openxmlformats.org/drawingml/2006/picture">
                      <pic:pic>
                        <pic:nvPicPr>
                          <pic:cNvPr descr="Chapter3/Figs/Table2.png" id="242" name="Picture"/>
                          <pic:cNvPicPr>
                            <a:picLocks noChangeArrowheads="1" noChangeAspect="1"/>
                          </pic:cNvPicPr>
                        </pic:nvPicPr>
                        <pic:blipFill>
                          <a:blip r:embed="rId240"/>
                          <a:stretch>
                            <a:fillRect/>
                          </a:stretch>
                        </pic:blipFill>
                        <pic:spPr bwMode="auto">
                          <a:xfrm>
                            <a:off x="0" y="0"/>
                            <a:ext cx="5646420" cy="2011714"/>
                          </a:xfrm>
                          <a:prstGeom prst="rect">
                            <a:avLst/>
                          </a:prstGeom>
                          <a:noFill/>
                          <a:ln w="9525">
                            <a:noFill/>
                            <a:headEnd/>
                            <a:tailEnd/>
                          </a:ln>
                        </pic:spPr>
                      </pic:pic>
                    </a:graphicData>
                  </a:graphic>
                </wp:inline>
              </w:drawing>
            </w:r>
          </w:p>
          <w:bookmarkEnd w:id="243"/>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44"/>
    <w:bookmarkStart w:id="245"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45"/>
    <w:bookmarkStart w:id="246"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46"/>
    <w:bookmarkEnd w:id="247"/>
    <w:bookmarkStart w:id="248"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48"/>
    <w:bookmarkStart w:id="249"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49"/>
    <w:bookmarkStart w:id="250"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50"/>
    <w:bookmarkEnd w:id="251"/>
    <w:bookmarkStart w:id="294" w:name="results-1"/>
    <w:p>
      <w:pPr>
        <w:pStyle w:val="Heading2"/>
      </w:pPr>
      <w:r>
        <w:t xml:space="preserve">3.3 Results</w:t>
      </w:r>
    </w:p>
    <w:bookmarkStart w:id="256"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5" w:name="fig-CompareRef"/>
          <w:p>
            <w:pPr>
              <w:pStyle w:val="Compact"/>
              <w:jc w:val="center"/>
            </w:pPr>
            <w:r>
              <w:drawing>
                <wp:inline>
                  <wp:extent cx="5646420" cy="2426196"/>
                  <wp:effectExtent b="0" l="0" r="0" t="0"/>
                  <wp:docPr descr="" title="" id="253" name="Picture"/>
                  <a:graphic>
                    <a:graphicData uri="http://schemas.openxmlformats.org/drawingml/2006/picture">
                      <pic:pic>
                        <pic:nvPicPr>
                          <pic:cNvPr descr="Chapter3/Figs/Figure4.png" id="254" name="Picture"/>
                          <pic:cNvPicPr>
                            <a:picLocks noChangeArrowheads="1" noChangeAspect="1"/>
                          </pic:cNvPicPr>
                        </pic:nvPicPr>
                        <pic:blipFill>
                          <a:blip r:embed="rId252"/>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55"/>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56"/>
    <w:bookmarkStart w:id="273"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60" w:name="fig-GafLow"/>
          <w:p>
            <w:pPr>
              <w:pStyle w:val="Compact"/>
              <w:jc w:val="center"/>
            </w:pPr>
            <w:r>
              <w:drawing>
                <wp:inline>
                  <wp:extent cx="5646420" cy="2937902"/>
                  <wp:effectExtent b="0" l="0" r="0" t="0"/>
                  <wp:docPr descr="" title="" id="258" name="Picture"/>
                  <a:graphic>
                    <a:graphicData uri="http://schemas.openxmlformats.org/drawingml/2006/picture">
                      <pic:pic>
                        <pic:nvPicPr>
                          <pic:cNvPr descr="Chapter3/Figs/Figure5.png" id="259" name="Picture"/>
                          <pic:cNvPicPr>
                            <a:picLocks noChangeArrowheads="1" noChangeAspect="1"/>
                          </pic:cNvPicPr>
                        </pic:nvPicPr>
                        <pic:blipFill>
                          <a:blip r:embed="rId257"/>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60"/>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64" w:name="fig-GafHigh"/>
          <w:p>
            <w:pPr>
              <w:pStyle w:val="Compact"/>
              <w:jc w:val="center"/>
            </w:pPr>
            <w:r>
              <w:drawing>
                <wp:inline>
                  <wp:extent cx="5646420" cy="4800778"/>
                  <wp:effectExtent b="0" l="0" r="0" t="0"/>
                  <wp:docPr descr="" title="" id="262" name="Picture"/>
                  <a:graphic>
                    <a:graphicData uri="http://schemas.openxmlformats.org/drawingml/2006/picture">
                      <pic:pic>
                        <pic:nvPicPr>
                          <pic:cNvPr descr="Chapter3/Figs/Figure6.png" id="263" name="Picture"/>
                          <pic:cNvPicPr>
                            <a:picLocks noChangeArrowheads="1" noChangeAspect="1"/>
                          </pic:cNvPicPr>
                        </pic:nvPicPr>
                        <pic:blipFill>
                          <a:blip r:embed="rId261"/>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64"/>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68" w:name="fig-Boat"/>
          <w:p>
            <w:pPr>
              <w:pStyle w:val="Compact"/>
              <w:jc w:val="center"/>
            </w:pPr>
            <w:r>
              <w:drawing>
                <wp:inline>
                  <wp:extent cx="5646420" cy="7129639"/>
                  <wp:effectExtent b="0" l="0" r="0" t="0"/>
                  <wp:docPr descr="" title="" id="266" name="Picture"/>
                  <a:graphic>
                    <a:graphicData uri="http://schemas.openxmlformats.org/drawingml/2006/picture">
                      <pic:pic>
                        <pic:nvPicPr>
                          <pic:cNvPr descr="Chapter3/Figs/Figure7.png" id="267" name="Picture"/>
                          <pic:cNvPicPr>
                            <a:picLocks noChangeArrowheads="1" noChangeAspect="1"/>
                          </pic:cNvPicPr>
                        </pic:nvPicPr>
                        <pic:blipFill>
                          <a:blip r:embed="rId265"/>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68"/>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72" w:name="fig-Dike"/>
          <w:p>
            <w:pPr>
              <w:pStyle w:val="Compact"/>
              <w:jc w:val="center"/>
            </w:pPr>
            <w:r>
              <w:drawing>
                <wp:inline>
                  <wp:extent cx="5646420" cy="4714079"/>
                  <wp:effectExtent b="0" l="0" r="0" t="0"/>
                  <wp:docPr descr="" title="" id="270" name="Picture"/>
                  <a:graphic>
                    <a:graphicData uri="http://schemas.openxmlformats.org/drawingml/2006/picture">
                      <pic:pic>
                        <pic:nvPicPr>
                          <pic:cNvPr descr="Chapter3/Figs/Figure8.png" id="271" name="Picture"/>
                          <pic:cNvPicPr>
                            <a:picLocks noChangeArrowheads="1" noChangeAspect="1"/>
                          </pic:cNvPicPr>
                        </pic:nvPicPr>
                        <pic:blipFill>
                          <a:blip r:embed="rId269"/>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72"/>
        </w:tc>
      </w:tr>
    </w:tbl>
    <w:bookmarkEnd w:id="273"/>
    <w:bookmarkStart w:id="278"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7" w:name="fig-Validation"/>
          <w:p>
            <w:pPr>
              <w:pStyle w:val="Compact"/>
              <w:jc w:val="center"/>
            </w:pPr>
            <w:r>
              <w:drawing>
                <wp:inline>
                  <wp:extent cx="5646420" cy="3781151"/>
                  <wp:effectExtent b="0" l="0" r="0" t="0"/>
                  <wp:docPr descr="" title="" id="275" name="Picture"/>
                  <a:graphic>
                    <a:graphicData uri="http://schemas.openxmlformats.org/drawingml/2006/picture">
                      <pic:pic>
                        <pic:nvPicPr>
                          <pic:cNvPr descr="Chapter3/Figs/Figure9.png" id="276" name="Picture"/>
                          <pic:cNvPicPr>
                            <a:picLocks noChangeArrowheads="1" noChangeAspect="1"/>
                          </pic:cNvPicPr>
                        </pic:nvPicPr>
                        <pic:blipFill>
                          <a:blip r:embed="rId274"/>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77"/>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78"/>
    <w:bookmarkStart w:id="283"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fig-VIP"/>
          <w:p>
            <w:pPr>
              <w:pStyle w:val="Compact"/>
              <w:jc w:val="center"/>
            </w:pPr>
            <w:r>
              <w:drawing>
                <wp:inline>
                  <wp:extent cx="5646420" cy="4164933"/>
                  <wp:effectExtent b="0" l="0" r="0" t="0"/>
                  <wp:docPr descr="" title="" id="280" name="Picture"/>
                  <a:graphic>
                    <a:graphicData uri="http://schemas.openxmlformats.org/drawingml/2006/picture">
                      <pic:pic>
                        <pic:nvPicPr>
                          <pic:cNvPr descr="Chapter3/Figs/Figure10.png" id="281" name="Picture"/>
                          <pic:cNvPicPr>
                            <a:picLocks noChangeArrowheads="1" noChangeAspect="1"/>
                          </pic:cNvPicPr>
                        </pic:nvPicPr>
                        <pic:blipFill>
                          <a:blip r:embed="rId279"/>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82"/>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83"/>
    <w:bookmarkStart w:id="288"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87" w:name="fig-pixelsize"/>
          <w:p>
            <w:pPr>
              <w:pStyle w:val="Compact"/>
              <w:jc w:val="center"/>
            </w:pPr>
            <w:r>
              <w:drawing>
                <wp:inline>
                  <wp:extent cx="5349240" cy="4312690"/>
                  <wp:effectExtent b="0" l="0" r="0" t="0"/>
                  <wp:docPr descr="" title="" id="285" name="Picture"/>
                  <a:graphic>
                    <a:graphicData uri="http://schemas.openxmlformats.org/drawingml/2006/picture">
                      <pic:pic>
                        <pic:nvPicPr>
                          <pic:cNvPr descr="Chapter3/Figs/Figure11.png" id="286" name="Picture"/>
                          <pic:cNvPicPr>
                            <a:picLocks noChangeArrowheads="1" noChangeAspect="1"/>
                          </pic:cNvPicPr>
                        </pic:nvPicPr>
                        <pic:blipFill>
                          <a:blip r:embed="rId284"/>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87"/>
        </w:tc>
      </w:tr>
    </w:tbl>
    <w:bookmarkEnd w:id="288"/>
    <w:bookmarkStart w:id="293"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2" w:name="fig-upscaling"/>
          <w:p>
            <w:pPr>
              <w:pStyle w:val="Compact"/>
              <w:jc w:val="center"/>
            </w:pPr>
            <w:r>
              <w:drawing>
                <wp:inline>
                  <wp:extent cx="5646420" cy="7578268"/>
                  <wp:effectExtent b="0" l="0" r="0" t="0"/>
                  <wp:docPr descr="" title="" id="290" name="Picture"/>
                  <a:graphic>
                    <a:graphicData uri="http://schemas.openxmlformats.org/drawingml/2006/picture">
                      <pic:pic>
                        <pic:nvPicPr>
                          <pic:cNvPr descr="Chapter3/Figs/Figure12.png" id="291" name="Picture"/>
                          <pic:cNvPicPr>
                            <a:picLocks noChangeArrowheads="1" noChangeAspect="1"/>
                          </pic:cNvPicPr>
                        </pic:nvPicPr>
                        <pic:blipFill>
                          <a:blip r:embed="rId289"/>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92"/>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93"/>
    <w:bookmarkEnd w:id="294"/>
    <w:bookmarkStart w:id="307" w:name="discussion-1"/>
    <w:p>
      <w:pPr>
        <w:pStyle w:val="Heading2"/>
      </w:pPr>
      <w:r>
        <w:t xml:space="preserve">3.4 Discussion</w:t>
      </w:r>
    </w:p>
    <w:bookmarkStart w:id="303"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98" w:name="fig-Pigm"/>
          <w:p>
            <w:pPr>
              <w:pStyle w:val="Compact"/>
              <w:jc w:val="center"/>
            </w:pPr>
            <w:r>
              <w:drawing>
                <wp:inline>
                  <wp:extent cx="5943600" cy="2877014"/>
                  <wp:effectExtent b="0" l="0" r="0" t="0"/>
                  <wp:docPr descr="" title="" id="296" name="Picture"/>
                  <a:graphic>
                    <a:graphicData uri="http://schemas.openxmlformats.org/drawingml/2006/picture">
                      <pic:pic>
                        <pic:nvPicPr>
                          <pic:cNvPr descr="Chapter3/Figs/Figure13.png" id="297" name="Picture"/>
                          <pic:cNvPicPr>
                            <a:picLocks noChangeArrowheads="1" noChangeAspect="1"/>
                          </pic:cNvPicPr>
                        </pic:nvPicPr>
                        <pic:blipFill>
                          <a:blip r:embed="rId295"/>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98"/>
        </w:tc>
      </w:tr>
    </w:tbl>
    <w:tbl>
      <w:tblPr>
        <w:tblStyle w:val="Table"/>
        <w:tblW w:type="pct" w:w="5000"/>
        <w:tblLayout w:type="fixed"/>
        <w:tblLook w:firstRow="0" w:lastRow="0" w:firstColumn="0" w:lastColumn="0" w:noHBand="0" w:noVBand="0" w:val="0000"/>
      </w:tblPr>
      <w:tblGrid>
        <w:gridCol w:w="7920"/>
      </w:tblGrid>
      <w:tr>
        <w:tc>
          <w:tcPr/>
          <w:bookmarkStart w:id="302" w:name="fig-ValidationGreen"/>
          <w:p>
            <w:pPr>
              <w:pStyle w:val="Compact"/>
              <w:jc w:val="center"/>
            </w:pPr>
            <w:r>
              <w:drawing>
                <wp:inline>
                  <wp:extent cx="2971800" cy="2121448"/>
                  <wp:effectExtent b="0" l="0" r="0" t="0"/>
                  <wp:docPr descr="" title="" id="300" name="Picture"/>
                  <a:graphic>
                    <a:graphicData uri="http://schemas.openxmlformats.org/drawingml/2006/picture">
                      <pic:pic>
                        <pic:nvPicPr>
                          <pic:cNvPr descr="Chapter3/Figs/Figure14.png" id="301" name="Picture"/>
                          <pic:cNvPicPr>
                            <a:picLocks noChangeArrowheads="1" noChangeAspect="1"/>
                          </pic:cNvPicPr>
                        </pic:nvPicPr>
                        <pic:blipFill>
                          <a:blip r:embed="rId299"/>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302"/>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303"/>
    <w:bookmarkStart w:id="304"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304"/>
    <w:bookmarkStart w:id="305"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305"/>
    <w:bookmarkStart w:id="306"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306"/>
    <w:bookmarkEnd w:id="307"/>
    <w:bookmarkStart w:id="308"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308"/>
    <w:bookmarkEnd w:id="309"/>
    <w:bookmarkStart w:id="373"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310"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310"/>
    <w:bookmarkStart w:id="333" w:name="materiels-methods"/>
    <w:p>
      <w:pPr>
        <w:pStyle w:val="Heading2"/>
      </w:pPr>
      <w:r>
        <w:t xml:space="preserve">4.2 Materiels &amp; Methods</w:t>
      </w:r>
    </w:p>
    <w:bookmarkStart w:id="315"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314" w:name="fig-location_sites_g"/>
          <w:p>
            <w:pPr>
              <w:pStyle w:val="Compact"/>
              <w:jc w:val="center"/>
            </w:pPr>
            <w:r>
              <w:drawing>
                <wp:inline>
                  <wp:extent cx="5646420" cy="5646420"/>
                  <wp:effectExtent b="0" l="0" r="0" t="0"/>
                  <wp:docPr descr="" title="" id="312" name="Picture"/>
                  <a:graphic>
                    <a:graphicData uri="http://schemas.openxmlformats.org/drawingml/2006/picture">
                      <pic:pic>
                        <pic:nvPicPr>
                          <pic:cNvPr descr="Chapter4/Figs/Map_site.png" id="313" name="Picture"/>
                          <pic:cNvPicPr>
                            <a:picLocks noChangeArrowheads="1" noChangeAspect="1"/>
                          </pic:cNvPicPr>
                        </pic:nvPicPr>
                        <pic:blipFill>
                          <a:blip r:embed="rId31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314"/>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315"/>
    <w:bookmarkStart w:id="325"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19" w:name="fig-PictureFigure_G"/>
          <w:p>
            <w:pPr>
              <w:pStyle w:val="Compact"/>
              <w:jc w:val="center"/>
            </w:pPr>
            <w:r>
              <w:drawing>
                <wp:inline>
                  <wp:extent cx="5646420" cy="7910634"/>
                  <wp:effectExtent b="0" l="0" r="0" t="0"/>
                  <wp:docPr descr="" title="" id="317" name="Picture"/>
                  <a:graphic>
                    <a:graphicData uri="http://schemas.openxmlformats.org/drawingml/2006/picture">
                      <pic:pic>
                        <pic:nvPicPr>
                          <pic:cNvPr descr="Chapter4/Figs/FigurePictures.png" id="318" name="Picture"/>
                          <pic:cNvPicPr>
                            <a:picLocks noChangeArrowheads="1" noChangeAspect="1"/>
                          </pic:cNvPicPr>
                        </pic:nvPicPr>
                        <pic:blipFill>
                          <a:blip r:embed="rId316"/>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19"/>
        </w:tc>
      </w:tr>
    </w:tbl>
    <w:bookmarkStart w:id="321"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20"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20"/>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21"/>
    <w:bookmarkStart w:id="324"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22"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22"/>
    <w:bookmarkStart w:id="323"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23"/>
    <w:bookmarkEnd w:id="324"/>
    <w:bookmarkEnd w:id="325"/>
    <w:bookmarkStart w:id="330"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9" w:name="fig-Workflow_g"/>
          <w:p>
            <w:pPr>
              <w:pStyle w:val="Compact"/>
              <w:jc w:val="center"/>
            </w:pPr>
            <w:r>
              <w:drawing>
                <wp:inline>
                  <wp:extent cx="5646420" cy="4298400"/>
                  <wp:effectExtent b="0" l="0" r="0" t="0"/>
                  <wp:docPr descr="" title="" id="327" name="Picture"/>
                  <a:graphic>
                    <a:graphicData uri="http://schemas.openxmlformats.org/drawingml/2006/picture">
                      <pic:pic>
                        <pic:nvPicPr>
                          <pic:cNvPr descr="Chapter4/Figs/Flowchart_gracillaria.png" id="328" name="Picture"/>
                          <pic:cNvPicPr>
                            <a:picLocks noChangeArrowheads="1" noChangeAspect="1"/>
                          </pic:cNvPicPr>
                        </pic:nvPicPr>
                        <pic:blipFill>
                          <a:blip r:embed="rId326"/>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29"/>
        </w:tc>
      </w:tr>
    </w:tbl>
    <w:bookmarkEnd w:id="330"/>
    <w:bookmarkStart w:id="331"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31"/>
    <w:bookmarkStart w:id="332"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32"/>
    <w:bookmarkEnd w:id="333"/>
    <w:bookmarkStart w:id="357" w:name="results-2"/>
    <w:p>
      <w:pPr>
        <w:pStyle w:val="Heading2"/>
      </w:pPr>
      <w:r>
        <w:t xml:space="preserve">4.3 Results</w:t>
      </w:r>
    </w:p>
    <w:bookmarkStart w:id="342"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37" w:name="fig-HistoricalMap_g"/>
          <w:p>
            <w:pPr>
              <w:pStyle w:val="Compact"/>
              <w:jc w:val="center"/>
            </w:pPr>
            <w:r>
              <w:drawing>
                <wp:inline>
                  <wp:extent cx="5646420" cy="2552181"/>
                  <wp:effectExtent b="0" l="0" r="0" t="0"/>
                  <wp:docPr descr="" title="" id="335" name="Picture"/>
                  <a:graphic>
                    <a:graphicData uri="http://schemas.openxmlformats.org/drawingml/2006/picture">
                      <pic:pic>
                        <pic:nvPicPr>
                          <pic:cNvPr descr="Chapter4/Figs/Historical_maps.png" id="336" name="Picture"/>
                          <pic:cNvPicPr>
                            <a:picLocks noChangeArrowheads="1" noChangeAspect="1"/>
                          </pic:cNvPicPr>
                        </pic:nvPicPr>
                        <pic:blipFill>
                          <a:blip r:embed="rId334"/>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37"/>
        </w:tc>
      </w:tr>
    </w:tbl>
    <w:tbl>
      <w:tblPr>
        <w:tblStyle w:val="Table"/>
        <w:tblW w:type="pct" w:w="5000"/>
        <w:tblLayout w:type="fixed"/>
        <w:tblLook w:firstRow="0" w:lastRow="0" w:firstColumn="0" w:lastColumn="0" w:noHBand="0" w:noVBand="0" w:val="0000"/>
      </w:tblPr>
      <w:tblGrid>
        <w:gridCol w:w="7920"/>
      </w:tblGrid>
      <w:tr>
        <w:tc>
          <w:tcPr/>
          <w:bookmarkStart w:id="341" w:name="fig-HistoricalPlot_g"/>
          <w:p>
            <w:pPr>
              <w:pStyle w:val="Compact"/>
              <w:jc w:val="center"/>
            </w:pPr>
            <w:r>
              <w:drawing>
                <wp:inline>
                  <wp:extent cx="5646420" cy="3387852"/>
                  <wp:effectExtent b="0" l="0" r="0" t="0"/>
                  <wp:docPr descr="" title="" id="339" name="Picture"/>
                  <a:graphic>
                    <a:graphicData uri="http://schemas.openxmlformats.org/drawingml/2006/picture">
                      <pic:pic>
                        <pic:nvPicPr>
                          <pic:cNvPr descr="Chapter4/Figs/Cover_Gracillaria_vs_Time.png" id="340" name="Picture"/>
                          <pic:cNvPicPr>
                            <a:picLocks noChangeArrowheads="1" noChangeAspect="1"/>
                          </pic:cNvPicPr>
                        </pic:nvPicPr>
                        <pic:blipFill>
                          <a:blip r:embed="rId338"/>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41"/>
        </w:tc>
      </w:tr>
    </w:tbl>
    <w:bookmarkEnd w:id="342"/>
    <w:bookmarkStart w:id="347"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46" w:name="fig-SpecDescri"/>
          <w:p>
            <w:pPr>
              <w:pStyle w:val="Compact"/>
              <w:jc w:val="center"/>
            </w:pPr>
            <w:r>
              <w:drawing>
                <wp:inline>
                  <wp:extent cx="5943600" cy="2971800"/>
                  <wp:effectExtent b="0" l="0" r="0" t="0"/>
                  <wp:docPr descr="" title="" id="344" name="Picture"/>
                  <a:graphic>
                    <a:graphicData uri="http://schemas.openxmlformats.org/drawingml/2006/picture">
                      <pic:pic>
                        <pic:nvPicPr>
                          <pic:cNvPr descr="Chapter4/Figs/plot_spectral_signature.png" id="345" name="Picture"/>
                          <pic:cNvPicPr>
                            <a:picLocks noChangeArrowheads="1" noChangeAspect="1"/>
                          </pic:cNvPicPr>
                        </pic:nvPicPr>
                        <pic:blipFill>
                          <a:blip r:embed="rId34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46"/>
        </w:tc>
      </w:tr>
    </w:tbl>
    <w:bookmarkEnd w:id="347"/>
    <w:bookmarkStart w:id="356"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51" w:name="fig-Belon"/>
          <w:p>
            <w:pPr>
              <w:pStyle w:val="Compact"/>
              <w:jc w:val="center"/>
            </w:pPr>
            <w:r>
              <w:drawing>
                <wp:inline>
                  <wp:extent cx="4754880" cy="8441508"/>
                  <wp:effectExtent b="0" l="0" r="0" t="0"/>
                  <wp:docPr descr="" title="" id="349" name="Picture"/>
                  <a:graphic>
                    <a:graphicData uri="http://schemas.openxmlformats.org/drawingml/2006/picture">
                      <pic:pic>
                        <pic:nvPicPr>
                          <pic:cNvPr descr="Chapter4/Figs/Belon_maps.png" id="350" name="Picture"/>
                          <pic:cNvPicPr>
                            <a:picLocks noChangeArrowheads="1" noChangeAspect="1"/>
                          </pic:cNvPicPr>
                        </pic:nvPicPr>
                        <pic:blipFill>
                          <a:blip r:embed="rId348"/>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51"/>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5" w:name="fig-Gam_Slope"/>
          <w:p>
            <w:pPr>
              <w:pStyle w:val="Compact"/>
              <w:jc w:val="center"/>
            </w:pPr>
            <w:r>
              <w:drawing>
                <wp:inline>
                  <wp:extent cx="5646420" cy="2823210"/>
                  <wp:effectExtent b="0" l="0" r="0" t="0"/>
                  <wp:docPr descr="" title="" id="353" name="Picture"/>
                  <a:graphic>
                    <a:graphicData uri="http://schemas.openxmlformats.org/drawingml/2006/picture">
                      <pic:pic>
                        <pic:nvPicPr>
                          <pic:cNvPr descr="Chapter4/Figs/GAM_slope_cover.png" id="354" name="Picture"/>
                          <pic:cNvPicPr>
                            <a:picLocks noChangeArrowheads="1" noChangeAspect="1"/>
                          </pic:cNvPicPr>
                        </pic:nvPicPr>
                        <pic:blipFill>
                          <a:blip r:embed="rId352"/>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55"/>
        </w:tc>
      </w:tr>
    </w:tbl>
    <w:bookmarkEnd w:id="356"/>
    <w:bookmarkEnd w:id="357"/>
    <w:bookmarkStart w:id="361" w:name="discussion-2"/>
    <w:p>
      <w:pPr>
        <w:pStyle w:val="Heading2"/>
      </w:pPr>
      <w:r>
        <w:t xml:space="preserve">4.4 Discussion</w:t>
      </w:r>
    </w:p>
    <w:bookmarkStart w:id="358" w:name="X9899dd51718767ce9f177be8709ff2a8e61d596"/>
    <w:p>
      <w:pPr>
        <w:pStyle w:val="Heading3"/>
      </w:pPr>
      <w:r>
        <w:t xml:space="preserve">4.4.1 Drone mapping</w:t>
      </w:r>
      <w:r>
        <w:t xml:space="preserve"> </w:t>
      </w:r>
      <w:r>
        <w:rPr>
          <w:i/>
          <w:iCs/>
        </w:rPr>
        <w:t xml:space="preserve">G. vermiculophylla</w:t>
      </w:r>
      <w:r>
        <w:t xml:space="preserve"> </w:t>
      </w:r>
      <w:r>
        <w:t xml:space="preserve">with machine learning</w:t>
      </w:r>
    </w:p>
    <w:p>
      <w:pPr>
        <w:pStyle w:val="FirstParagraph"/>
      </w:pPr>
      <w:r>
        <w:t xml:space="preserve">In this study, we produced the first spatial distribution maps of the invasive red macroalgae</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The species formed monospecific mats in southern Brittany, while in the Cantabrian region of Spain, it was mixed with other intertidal vegetation. Distinguishing among these vegetation types was a key prerequisite for the analysis. To achieve this, we developed a new version of the deep learning-based classification model DISCOV initially developed to discriminate seagrass from green macrophytes</w:t>
      </w:r>
      <w:r>
        <w:t xml:space="preserve"> </w:t>
      </w:r>
      <w:r>
        <w:t xml:space="preserve">(Oiry et al., 2024)</w:t>
      </w:r>
      <w:r>
        <w:t xml:space="preserve">. DISCOV v2.0 was based on an improved training dataset, which included a larger number of pixels on red macroalgae covering approximately 26 % of one million pixels and allowed the model to achieve an accuracy of 91.1 % in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macrophytes</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the species level using standard multispectral, hyperspectral data may allow mapping on a finer taxonomic resolution</w:t>
      </w:r>
      <w:r>
        <w:t xml:space="preserve"> </w:t>
      </w:r>
      <w:r>
        <w:t xml:space="preserve">(Douay et al., 2022; Olmedo-Masat et al., 2020)</w:t>
      </w:r>
      <w:r>
        <w:t xml:space="preserve">. Ecological factors also aided in identifying</w:t>
      </w:r>
      <w:r>
        <w:t xml:space="preserve"> </w:t>
      </w:r>
      <w:r>
        <w:rPr>
          <w:i/>
          <w:iCs/>
        </w:rPr>
        <w:t xml:space="preserve">G. vermiculophylla</w:t>
      </w:r>
      <w:r>
        <w:t xml:space="preserve">. Unlike many other macroalgae that require hard substrates for the spores to settle,</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 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 A multispectral sensor is necessary to obtain spatially explicit maps when this species is mixed with other classes of intertidal vegetation. However, when monospecific mats are the primary vegetation colonising tidal flats, RGB drone imagery can be exploited.</w:t>
      </w:r>
    </w:p>
    <w:bookmarkEnd w:id="358"/>
    <w:bookmarkStart w:id="359"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of West European estuaries revealed a relationship with mudflat topography, significantly influencing algal abundance. Our results showed that higher elevations within the intertidal zone supported a greater abundance of</w:t>
      </w:r>
      <w:r>
        <w:t xml:space="preserve"> </w:t>
      </w:r>
      <w:r>
        <w:rPr>
          <w:i/>
          <w:iCs/>
        </w:rPr>
        <w:t xml:space="preserve">G. vermiculophylla</w:t>
      </w:r>
      <w:r>
        <w:t xml:space="preserve">.</w:t>
      </w:r>
      <w:r>
        <w:t xml:space="preserve"> </w:t>
      </w:r>
      <w:r>
        <w:t xml:space="preserve">Thomsen et al. (2009)</w:t>
      </w:r>
      <w:r>
        <w:t xml:space="preserve"> </w:t>
      </w:r>
      <w:r>
        <w:t xml:space="preserve">observed this species inhabiting areas as elevated as the mudflat-marsh border. This capacity to colonise the upper intertidal is related to its physiological plasticity and high-stress resistance</w:t>
      </w:r>
      <w:r>
        <w:t xml:space="preserve"> </w:t>
      </w:r>
      <w:r>
        <w:t xml:space="preserve">(Thomsen et al., 2007)</w:t>
      </w:r>
      <w:r>
        <w:t xml:space="preserve">. Its capacity for sustained growth under desiccation, light and salinity extremes</w:t>
      </w:r>
      <w:r>
        <w:t xml:space="preserve"> </w:t>
      </w:r>
      <w:r>
        <w:t xml:space="preserve">(Nyberg, 2007; Raikar et al., 2001; Rueness, 2005)</w:t>
      </w:r>
      <w:r>
        <w:t xml:space="preserve"> </w:t>
      </w:r>
      <w:r>
        <w:t xml:space="preserve">explains its successful establishment at high elevations in mesohaline estuarine environments</w:t>
      </w:r>
      <w:r>
        <w:t xml:space="preserve"> </w:t>
      </w:r>
      <w:r>
        <w:t xml:space="preserve">(Weinberger et al., 2008)</w:t>
      </w:r>
      <w:r>
        <w:t xml:space="preserve">. In the Belon estuary, most of</w:t>
      </w:r>
      <w:r>
        <w:t xml:space="preserve"> </w:t>
      </w:r>
      <w:r>
        <w:rPr>
          <w:i/>
          <w:iCs/>
        </w:rPr>
        <w:t xml:space="preserve">G. vermiculophylla</w:t>
      </w:r>
      <w:r>
        <w:t xml:space="preserve"> </w:t>
      </w:r>
      <w:r>
        <w:t xml:space="preserve">was found between 1 and 2 m above MSL, which are high elevations for which rapid desiccation of this macroalgae was described by</w:t>
      </w:r>
      <w:r>
        <w:t xml:space="preserve"> </w:t>
      </w:r>
      <w:r>
        <w:t xml:space="preserve">Thomsen and McGlathery (2007)</w:t>
      </w:r>
      <w:r>
        <w:t xml:space="preserve"> </w:t>
      </w:r>
      <w:r>
        <w:t xml:space="preserve">in shallow lagoons of the Eastern Atlantic coast. The thick mat structure observed in Western Europe may explain this discrepancy by retaining more water. A lower hydrodynamism also characterizes these areas. Unlike seagrasses, another type of marine plant that can colonize soft sediment, but possesses rhizomes that provide robust anchorage,</w:t>
      </w:r>
      <w:r>
        <w:t xml:space="preserve"> </w:t>
      </w:r>
      <w:r>
        <w:rPr>
          <w:i/>
          <w:iCs/>
        </w:rPr>
        <w:t xml:space="preserve">G. vermiculophylla</w:t>
      </w:r>
      <w:r>
        <w:t xml:space="preserve"> </w:t>
      </w:r>
      <w:r>
        <w:t xml:space="preserve">lacks such specialized structures. Consequently, it is more vulnerable to disturbance and displacement by waves and tidal currents than seagrass. In the estuaries of South Brittany, this species can bury part of its thalli into the upper layers of soft sediment</w:t>
      </w:r>
      <w:r>
        <w:t xml:space="preserve"> </w:t>
      </w:r>
      <w:r>
        <w:t xml:space="preserve">(Surget, 2017)</w:t>
      </w:r>
      <w:r>
        <w:t xml:space="preserve">. This mode of anchorage likely helps</w:t>
      </w:r>
      <w:r>
        <w:t xml:space="preserve"> </w:t>
      </w:r>
      <w:r>
        <w:rPr>
          <w:i/>
          <w:iCs/>
        </w:rPr>
        <w:t xml:space="preserve">G. vermiculophylla</w:t>
      </w:r>
      <w:r>
        <w:t xml:space="preserve"> </w:t>
      </w:r>
      <w:r>
        <w:t xml:space="preserve">withstand strong currents or wave action and contributes to forming these thick mats. The creation of such mats probably also requires areas with high sedimentation rates, typically found in the upper intertidal or the vicinity of marshes, promoting sediment deposition</w:t>
      </w:r>
      <w:r>
        <w:t xml:space="preserve"> </w:t>
      </w:r>
      <w:r>
        <w:t xml:space="preserve">(Mudd et al., 2010)</w:t>
      </w:r>
      <w:r>
        <w:t xml:space="preserve">. This observation aligns with the findings illustrated in</w:t>
      </w:r>
      <w:r>
        <w:t xml:space="preserve"> </w:t>
      </w:r>
      <w:r>
        <w:t xml:space="preserve">$Figure~\ref{fig-HistoricalMap_g}$</w:t>
      </w:r>
      <w:r>
        <w:t xml:space="preserve">, which show that one of the first areas colonized by</w:t>
      </w:r>
      <w:r>
        <w:t xml:space="preserve"> </w:t>
      </w:r>
      <w:r>
        <w:rPr>
          <w:i/>
          <w:iCs/>
        </w:rPr>
        <w:t xml:space="preserve">G. vermiculophylla</w:t>
      </w:r>
      <w:r>
        <w:t xml:space="preserve"> </w:t>
      </w:r>
      <w:r>
        <w:t xml:space="preserve">in the Belon estuary was located near a salt marsh patch. These dense mats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There was a significant negative relationship between slope steepness and the density of</w:t>
      </w:r>
      <w:r>
        <w:t xml:space="preserve"> </w:t>
      </w:r>
      <w:r>
        <w:rPr>
          <w:i/>
          <w:iCs/>
        </w:rPr>
        <w:t xml:space="preserve">G. vermiculophylla</w:t>
      </w:r>
      <w:r>
        <w:t xml:space="preserve">.</w:t>
      </w:r>
      <w:r>
        <w:t xml:space="preserve"> </w:t>
      </w:r>
      <w:r>
        <w:t xml:space="preserve">Besterman et al. (2021)</w:t>
      </w:r>
      <w:r>
        <w:t xml:space="preserve"> </w:t>
      </w:r>
      <w:r>
        <w:t xml:space="preserve">showed that mudflat topography was a good predictor of</w:t>
      </w:r>
      <w:r>
        <w:t xml:space="preserve"> </w:t>
      </w:r>
      <w:r>
        <w:rPr>
          <w:i/>
          <w:iCs/>
        </w:rPr>
        <w:t xml:space="preserve">G. vermiculophylla</w:t>
      </w:r>
      <w:r>
        <w:t xml:space="preserve"> </w:t>
      </w:r>
      <w:r>
        <w:t xml:space="preserve">abundance, while</w:t>
      </w:r>
      <w:r>
        <w:t xml:space="preserve"> </w:t>
      </w:r>
      <w:r>
        <w:t xml:space="preserve">Thomsen et al. (2009)</w:t>
      </w:r>
      <w:r>
        <w:t xml:space="preserve"> </w:t>
      </w:r>
      <w:r>
        <w:t xml:space="preserve">rreported a high abundance in marshes with low slopes. Mudflat topography integrates several flow-related variables</w:t>
      </w:r>
      <w:r>
        <w:t xml:space="preserve"> </w:t>
      </w:r>
      <w:r>
        <w:t xml:space="preserve">(Besterman et al., 2021)</w:t>
      </w:r>
      <w:r>
        <w:t xml:space="preserve">. Steeper slopes are typically associated with higher current velocities during tidal exchanges, resulting in stronger erosion and reduced sedimentation. Areas with steeper slopes may also limit the retention of organic matter and nutrients, reducing the availability of essential resources needed for algal growth. In contrast, flatter areas within the intertidal zone are more likely to accumulate fine sediments and retain water for longer durations during low tides, creating a more stable and nutrient-rich environment conducive to</w:t>
      </w:r>
      <w:r>
        <w:t xml:space="preserve"> </w:t>
      </w:r>
      <w:r>
        <w:rPr>
          <w:i/>
          <w:iCs/>
        </w:rPr>
        <w:t xml:space="preserve">G. vermiculophylla</w:t>
      </w:r>
      <w:r>
        <w:t xml:space="preserve"> </w:t>
      </w:r>
      <w:r>
        <w:t xml:space="preserve">proliferation. These low-slope conditions may also favour dense algal mat formation, further stabilising the sediment and promoting growth.</w:t>
      </w:r>
    </w:p>
    <w:bookmarkEnd w:id="359"/>
    <w:bookmarkStart w:id="360"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macroalga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Belon Estuary suggest the initial presence of this species in 1976</w:t>
      </w:r>
      <w:r>
        <w:t xml:space="preserve"> </w:t>
      </w:r>
      <w:r>
        <w:t xml:space="preserve">$Figure~\ref{fig-HistoricalMap_g}$</w:t>
      </w:r>
      <w:r>
        <w:t xml:space="preserve">, preceding its first formal description in European waters in 1996 by two decades</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detecting, monitoring, and reporting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corresponds with the introduction of the Pacific oyster (</w:t>
      </w:r>
      <w:r>
        <w:rPr>
          <w:i/>
          <w:iCs/>
        </w:rPr>
        <w:t xml:space="preserve">Crassostrea gigas</w:t>
      </w:r>
      <w:r>
        <w:t xml:space="preserve">) into the estuary a few years before, between 1971 and 1975, and a potential vector for algal dispersal through aquaculture activities</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the alga progressively occupied suitable habitats, consistent with theoretical invasion dynamics involving a lag phase followed by rapid spread</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Remote sensing facilitates timely interventions by capturing detailed data on the spatial distribution and habitat preferences of species such as</w:t>
      </w:r>
      <w:r>
        <w:t xml:space="preserve"> </w:t>
      </w:r>
      <w:r>
        <w:rPr>
          <w:i/>
          <w:iCs/>
        </w:rPr>
        <w:t xml:space="preserve">G. vermiculophylla</w:t>
      </w:r>
      <w:r>
        <w:t xml:space="preserve">,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60"/>
    <w:bookmarkEnd w:id="361"/>
    <w:bookmarkStart w:id="362" w:name="conclusion-1"/>
    <w:p>
      <w:pPr>
        <w:pStyle w:val="Heading2"/>
      </w:pPr>
      <w:r>
        <w:t xml:space="preserve">4.5 Conclusion</w:t>
      </w:r>
    </w:p>
    <w:p>
      <w:pPr>
        <w:pStyle w:val="FirstParagraph"/>
      </w:pPr>
      <w:r>
        <w:t xml:space="preserve">This study demonstrated the potential of high-resolution drone-based multispectral remote sensing to map the spatial and temporal distribution of the invasive red macroalga G. vermiculophylla in European estuaries. By employing the DISCOV V.2 machine-learning model, updated to include an extensive dataset of Rhodophyceae pixels, we achieved a classification accuracy of 91.1%. Our analysis revealed a clear spatial relationship between G. vermiculophylla and intertidal topography retrieved from LiDAR, with its cover consistently higher in flat, elevated mudflats compared to lower and steeper areas. The temporal progression, derived from a historical dataset spanning over seven decades, highlights the progressive establishment and expansion of the algae. Notably, our remote sensing analysis confirmed the presence of G. vermiculophylla in the Belon Estuary approximately 20 years before its first scientific description, emphasizing the value of retrospective mapping. The historical aerial imagery analysis provided crucial insights into the dynamics of G. vermiculophylla’s invasion, revealing a lag phase followed by rapid colonization. This expansion coincided with the development of Pacific oyster aquaculture, suggesting a potential link with the proliferation of this invasive species. These findings underscore the crucial role of remote sensing in ecological research, particularly in studying invasive species</w:t>
      </w:r>
      <w:r>
        <w:t xml:space="preserve"> </w:t>
      </w:r>
      <w:r>
        <w:t xml:space="preserve">(Roca et al., 2022)</w:t>
      </w:r>
      <w:r>
        <w:t xml:space="preserve">. Integrating hyperspectral sensors could enhance species-level discrimination while adopting low-cost RGB-based methods could extend monitoring capacities to a broader range of stakeholders. The larger mats could be detected at a coarser spatial resolution, and a perspective of this work is to use Sentinel 2 satellite images at a 10 m resolution</w:t>
      </w:r>
      <w:r>
        <w:t xml:space="preserve"> </w:t>
      </w:r>
      <w:r>
        <w:t xml:space="preserve">(Davies et al., 2024b)</w:t>
      </w:r>
      <w:r>
        <w:t xml:space="preserve">. These advancements will be crucial for informing management strategies, fostering community engagement, and preserving estuarine biodiversity in the face of ongoing ecological changes.</w:t>
      </w:r>
    </w:p>
    <w:p>
      <w:r>
        <w:br w:type="page"/>
      </w:r>
    </w:p>
    <w:bookmarkEnd w:id="362"/>
    <w:bookmarkStart w:id="372" w:name="annexes"/>
    <w:p>
      <w:pPr>
        <w:pStyle w:val="Heading2"/>
      </w:pPr>
      <w:r>
        <w:t xml:space="preserve">4.6 Annexes</w:t>
      </w:r>
    </w:p>
    <w:bookmarkStart w:id="363" w:name="sec-AnnexeA"/>
    <w:p>
      <w:pPr>
        <w:pStyle w:val="Heading3"/>
      </w:pPr>
      <w:r>
        <w:t xml:space="preserve">4.6.1 Annexes A - Updated training dataset</w:t>
      </w:r>
    </w:p>
    <w:p>
      <w:r>
        <w:br w:type="page"/>
      </w:r>
    </w:p>
    <w:bookmarkEnd w:id="363"/>
    <w:bookmarkStart w:id="364" w:name="sec-AnnexeB"/>
    <w:p>
      <w:pPr>
        <w:pStyle w:val="Heading3"/>
      </w:pPr>
      <w:r>
        <w:t xml:space="preserve">4.6.2 Annexes B - Validation dataset</w:t>
      </w:r>
    </w:p>
    <w:p>
      <w:r>
        <w:br w:type="page"/>
      </w:r>
    </w:p>
    <w:bookmarkEnd w:id="364"/>
    <w:bookmarkStart w:id="366"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65"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65"/>
        </w:tc>
      </w:tr>
    </w:tbl>
    <w:p>
      <w:r>
        <w:br w:type="page"/>
      </w:r>
    </w:p>
    <w:bookmarkEnd w:id="366"/>
    <w:bookmarkStart w:id="371"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70" w:name="fig-Saja_g"/>
          <w:p>
            <w:pPr>
              <w:pStyle w:val="Compact"/>
              <w:jc w:val="center"/>
            </w:pPr>
            <w:r>
              <w:drawing>
                <wp:inline>
                  <wp:extent cx="5646420" cy="3861605"/>
                  <wp:effectExtent b="0" l="0" r="0" t="0"/>
                  <wp:docPr descr="" title="" id="368" name="Picture"/>
                  <a:graphic>
                    <a:graphicData uri="http://schemas.openxmlformats.org/drawingml/2006/picture">
                      <pic:pic>
                        <pic:nvPicPr>
                          <pic:cNvPr descr="Chapter4/Figs/Saja_maps.png" id="369" name="Picture"/>
                          <pic:cNvPicPr>
                            <a:picLocks noChangeArrowheads="1" noChangeAspect="1"/>
                          </pic:cNvPicPr>
                        </pic:nvPicPr>
                        <pic:blipFill>
                          <a:blip r:embed="rId367"/>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70"/>
        </w:tc>
      </w:tr>
    </w:tbl>
    <w:bookmarkEnd w:id="371"/>
    <w:bookmarkEnd w:id="372"/>
    <w:bookmarkEnd w:id="373"/>
    <w:bookmarkStart w:id="460" w:name="X1561e86f51a34bd510c830a563784fa1d07c37a"/>
    <w:p>
      <w:pPr>
        <w:pStyle w:val="Heading1"/>
      </w:pPr>
      <w:r>
        <w:t xml:space="preserve">5. The impact of Heatwave on Seagrasses using hyperspectral and multispectral remote sensing</w:t>
      </w:r>
    </w:p>
    <w:bookmarkStart w:id="374"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74"/>
    <w:bookmarkStart w:id="412" w:name="materials-methods-1"/>
    <w:p>
      <w:pPr>
        <w:pStyle w:val="Heading2"/>
      </w:pPr>
      <w:r>
        <w:t xml:space="preserve">5.2 Materials &amp; Methods</w:t>
      </w:r>
    </w:p>
    <w:bookmarkStart w:id="394" w:name="laboratory-experiment"/>
    <w:p>
      <w:pPr>
        <w:pStyle w:val="Heading3"/>
      </w:pPr>
      <w:r>
        <w:t xml:space="preserve">5.2.1 Laboratory Experiment</w:t>
      </w:r>
    </w:p>
    <w:bookmarkStart w:id="379"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78" w:name="fig-design_h"/>
          <w:p>
            <w:pPr>
              <w:pStyle w:val="Compact"/>
              <w:jc w:val="center"/>
            </w:pPr>
            <w:r>
              <w:drawing>
                <wp:inline>
                  <wp:extent cx="5646420" cy="5554024"/>
                  <wp:effectExtent b="0" l="0" r="0" t="0"/>
                  <wp:docPr descr="" title="" id="376" name="Picture"/>
                  <a:graphic>
                    <a:graphicData uri="http://schemas.openxmlformats.org/drawingml/2006/picture">
                      <pic:pic>
                        <pic:nvPicPr>
                          <pic:cNvPr descr="Chapter5/Figs/Experimental_design.png" id="377" name="Picture"/>
                          <pic:cNvPicPr>
                            <a:picLocks noChangeArrowheads="1" noChangeAspect="1"/>
                          </pic:cNvPicPr>
                        </pic:nvPicPr>
                        <pic:blipFill>
                          <a:blip r:embed="rId375"/>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78"/>
        </w:tc>
      </w:tr>
    </w:tbl>
    <w:bookmarkEnd w:id="379"/>
    <w:bookmarkStart w:id="384"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83" w:name="fig-Profile_h"/>
          <w:p>
            <w:pPr>
              <w:pStyle w:val="Compact"/>
              <w:jc w:val="center"/>
            </w:pPr>
            <w:r>
              <w:drawing>
                <wp:inline>
                  <wp:extent cx="5646420" cy="2582402"/>
                  <wp:effectExtent b="0" l="0" r="0" t="0"/>
                  <wp:docPr descr="" title="" id="381" name="Picture"/>
                  <a:graphic>
                    <a:graphicData uri="http://schemas.openxmlformats.org/drawingml/2006/picture">
                      <pic:pic>
                        <pic:nvPicPr>
                          <pic:cNvPr descr="Chapter5/Figs/Chamber_Profils.png" id="382" name="Picture"/>
                          <pic:cNvPicPr>
                            <a:picLocks noChangeArrowheads="1" noChangeAspect="1"/>
                          </pic:cNvPicPr>
                        </pic:nvPicPr>
                        <pic:blipFill>
                          <a:blip r:embed="rId380"/>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83"/>
        </w:tc>
      </w:tr>
    </w:tbl>
    <w:bookmarkEnd w:id="384"/>
    <w:bookmarkStart w:id="393" w:name="optical-measurements"/>
    <w:p>
      <w:pPr>
        <w:pStyle w:val="Heading4"/>
      </w:pPr>
      <w:r>
        <w:t xml:space="preserve">5.2.1.3 Optical measurements</w:t>
      </w:r>
    </w:p>
    <w:bookmarkStart w:id="385"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85"/>
    <w:bookmarkStart w:id="392"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86"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86"/>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87"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87"/>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91" w:name="fig-SHSI_h"/>
          <w:p>
            <w:pPr>
              <w:pStyle w:val="Compact"/>
              <w:jc w:val="center"/>
            </w:pPr>
            <w:r>
              <w:drawing>
                <wp:inline>
                  <wp:extent cx="5646420" cy="5646420"/>
                  <wp:effectExtent b="0" l="0" r="0" t="0"/>
                  <wp:docPr descr="" title="" id="389" name="Picture"/>
                  <a:graphic>
                    <a:graphicData uri="http://schemas.openxmlformats.org/drawingml/2006/picture">
                      <pic:pic>
                        <pic:nvPicPr>
                          <pic:cNvPr descr="Chapter5/Figs/Plot_explain_SHSI.png" id="390" name="Picture"/>
                          <pic:cNvPicPr>
                            <a:picLocks noChangeArrowheads="1" noChangeAspect="1"/>
                          </pic:cNvPicPr>
                        </pic:nvPicPr>
                        <pic:blipFill>
                          <a:blip r:embed="rId38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91"/>
        </w:tc>
      </w:tr>
    </w:tbl>
    <w:bookmarkEnd w:id="392"/>
    <w:bookmarkEnd w:id="393"/>
    <w:bookmarkEnd w:id="394"/>
    <w:bookmarkStart w:id="410"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8" w:name="fig-quiberonMap_h"/>
          <w:p>
            <w:pPr>
              <w:pStyle w:val="Compact"/>
              <w:jc w:val="center"/>
            </w:pPr>
            <w:r>
              <w:drawing>
                <wp:inline>
                  <wp:extent cx="5646420" cy="7238999"/>
                  <wp:effectExtent b="0" l="0" r="0" t="0"/>
                  <wp:docPr descr="" title="" id="396" name="Picture"/>
                  <a:graphic>
                    <a:graphicData uri="http://schemas.openxmlformats.org/drawingml/2006/picture">
                      <pic:pic>
                        <pic:nvPicPr>
                          <pic:cNvPr descr="Chapter5/Figs/Quiberon_map.png" id="397" name="Picture"/>
                          <pic:cNvPicPr>
                            <a:picLocks noChangeArrowheads="1" noChangeAspect="1"/>
                          </pic:cNvPicPr>
                        </pic:nvPicPr>
                        <pic:blipFill>
                          <a:blip r:embed="rId395"/>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98"/>
        </w:tc>
      </w:tr>
    </w:tbl>
    <w:tbl>
      <w:tblPr>
        <w:tblStyle w:val="Table"/>
        <w:tblW w:type="pct" w:w="5000"/>
        <w:tblLayout w:type="fixed"/>
        <w:tblLook w:firstRow="0" w:lastRow="0" w:firstColumn="0" w:lastColumn="0" w:noHBand="0" w:noVBand="0" w:val="0000"/>
      </w:tblPr>
      <w:tblGrid>
        <w:gridCol w:w="7920"/>
      </w:tblGrid>
      <w:tr>
        <w:tc>
          <w:tcPr/>
          <w:bookmarkStart w:id="402" w:name="fig-QuiberonImg_h"/>
          <w:p>
            <w:pPr>
              <w:pStyle w:val="Compact"/>
              <w:jc w:val="center"/>
            </w:pPr>
            <w:r>
              <w:drawing>
                <wp:inline>
                  <wp:extent cx="5646420" cy="3733115"/>
                  <wp:effectExtent b="0" l="0" r="0" t="0"/>
                  <wp:docPr descr="" title="" id="400" name="Picture"/>
                  <a:graphic>
                    <a:graphicData uri="http://schemas.openxmlformats.org/drawingml/2006/picture">
                      <pic:pic>
                        <pic:nvPicPr>
                          <pic:cNvPr descr="Chapter5/Figs/img_Quiberon.png" id="401" name="Picture"/>
                          <pic:cNvPicPr>
                            <a:picLocks noChangeArrowheads="1" noChangeAspect="1"/>
                          </pic:cNvPicPr>
                        </pic:nvPicPr>
                        <pic:blipFill>
                          <a:blip r:embed="rId399"/>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402"/>
        </w:tc>
      </w:tr>
    </w:tbl>
    <w:bookmarkStart w:id="407" w:name="temperature-data-and-hw-detection"/>
    <w:p>
      <w:pPr>
        <w:pStyle w:val="Heading4"/>
      </w:pPr>
      <w:r>
        <w:t xml:space="preserve">5.2.2.1 Temperature data and HW detection</w:t>
      </w:r>
    </w:p>
    <w:bookmarkStart w:id="404"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403">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404"/>
    <w:bookmarkStart w:id="405"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405"/>
    <w:bookmarkStart w:id="406"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406"/>
    <w:bookmarkEnd w:id="407"/>
    <w:bookmarkStart w:id="408"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408"/>
    <w:bookmarkStart w:id="409"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409"/>
    <w:bookmarkEnd w:id="410"/>
    <w:bookmarkStart w:id="411"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411"/>
    <w:bookmarkEnd w:id="412"/>
    <w:bookmarkStart w:id="447" w:name="results-3"/>
    <w:p>
      <w:pPr>
        <w:pStyle w:val="Heading2"/>
      </w:pPr>
      <w:r>
        <w:t xml:space="preserve">5.3 Results</w:t>
      </w:r>
    </w:p>
    <w:bookmarkStart w:id="427" w:name="laboratory-experiment-1"/>
    <w:p>
      <w:pPr>
        <w:pStyle w:val="Heading3"/>
      </w:pPr>
      <w:r>
        <w:t xml:space="preserve">5.3.1 Laboratory Experiment</w:t>
      </w:r>
    </w:p>
    <w:bookmarkStart w:id="417"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416" w:name="fig-Exp_Spectra_h"/>
          <w:p>
            <w:pPr>
              <w:pStyle w:val="Compact"/>
              <w:jc w:val="center"/>
            </w:pPr>
            <w:r>
              <w:drawing>
                <wp:inline>
                  <wp:extent cx="5646420" cy="2823210"/>
                  <wp:effectExtent b="0" l="0" r="0" t="0"/>
                  <wp:docPr descr="" title="" id="414" name="Picture"/>
                  <a:graphic>
                    <a:graphicData uri="http://schemas.openxmlformats.org/drawingml/2006/picture">
                      <pic:pic>
                        <pic:nvPicPr>
                          <pic:cNvPr descr="Chapter5/Figs/plot_Spectra_exp.png" id="415" name="Picture"/>
                          <pic:cNvPicPr>
                            <a:picLocks noChangeArrowheads="1" noChangeAspect="1"/>
                          </pic:cNvPicPr>
                        </pic:nvPicPr>
                        <pic:blipFill>
                          <a:blip r:embed="rId41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416"/>
        </w:tc>
      </w:tr>
    </w:tbl>
    <w:bookmarkEnd w:id="417"/>
    <w:bookmarkStart w:id="426"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increase of approximately 241 %, eventually reaching a cumulative increase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21" w:name="fig-Exp_Spectral_indices_h"/>
          <w:p>
            <w:pPr>
              <w:pStyle w:val="Compact"/>
              <w:jc w:val="center"/>
            </w:pPr>
            <w:r>
              <w:drawing>
                <wp:inline>
                  <wp:extent cx="5646420" cy="5646420"/>
                  <wp:effectExtent b="0" l="0" r="0" t="0"/>
                  <wp:docPr descr="" title="" id="419" name="Picture"/>
                  <a:graphic>
                    <a:graphicData uri="http://schemas.openxmlformats.org/drawingml/2006/picture">
                      <pic:pic>
                        <pic:nvPicPr>
                          <pic:cNvPr descr="Chapter5/Figs/merged_indices.png" id="420" name="Picture"/>
                          <pic:cNvPicPr>
                            <a:picLocks noChangeArrowheads="1" noChangeAspect="1"/>
                          </pic:cNvPicPr>
                        </pic:nvPicPr>
                        <pic:blipFill>
                          <a:blip r:embed="rId41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21"/>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25" w:name="fig-SDI_over_Time_h"/>
          <w:p>
            <w:pPr>
              <w:pStyle w:val="Compact"/>
              <w:jc w:val="center"/>
            </w:pPr>
            <w:r>
              <w:drawing>
                <wp:inline>
                  <wp:extent cx="5646420" cy="3387852"/>
                  <wp:effectExtent b="0" l="0" r="0" t="0"/>
                  <wp:docPr descr="" title="" id="423" name="Picture"/>
                  <a:graphic>
                    <a:graphicData uri="http://schemas.openxmlformats.org/drawingml/2006/picture">
                      <pic:pic>
                        <pic:nvPicPr>
                          <pic:cNvPr descr="Chapter5/Figs/SDI_exp_overtime.png" id="424" name="Picture"/>
                          <pic:cNvPicPr>
                            <a:picLocks noChangeArrowheads="1" noChangeAspect="1"/>
                          </pic:cNvPicPr>
                        </pic:nvPicPr>
                        <pic:blipFill>
                          <a:blip r:embed="rId422"/>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25"/>
        </w:tc>
      </w:tr>
    </w:tbl>
    <w:bookmarkEnd w:id="426"/>
    <w:bookmarkEnd w:id="427"/>
    <w:bookmarkStart w:id="446" w:name="X8f6520fb2cd603cd376acac4efc8d29f28e0a7a"/>
    <w:p>
      <w:pPr>
        <w:pStyle w:val="Heading3"/>
      </w:pPr>
      <w:r>
        <w:t xml:space="preserve">5.3.2 HW of September 2021 in Quiberon, South Brittany</w:t>
      </w:r>
    </w:p>
    <w:bookmarkStart w:id="432"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31" w:name="fig-S2_comparison"/>
          <w:p>
            <w:pPr>
              <w:pStyle w:val="Compact"/>
              <w:jc w:val="center"/>
            </w:pPr>
            <w:r>
              <w:drawing>
                <wp:inline>
                  <wp:extent cx="5646420" cy="5268455"/>
                  <wp:effectExtent b="0" l="0" r="0" t="0"/>
                  <wp:docPr descr="" title="" id="429" name="Picture"/>
                  <a:graphic>
                    <a:graphicData uri="http://schemas.openxmlformats.org/drawingml/2006/picture">
                      <pic:pic>
                        <pic:nvPicPr>
                          <pic:cNvPr descr="Chapter5/Figs/Heatwaves_S2_plot.png" id="430" name="Picture"/>
                          <pic:cNvPicPr>
                            <a:picLocks noChangeArrowheads="1" noChangeAspect="1"/>
                          </pic:cNvPicPr>
                        </pic:nvPicPr>
                        <pic:blipFill>
                          <a:blip r:embed="rId428"/>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31"/>
        </w:tc>
      </w:tr>
    </w:tbl>
    <w:bookmarkEnd w:id="432"/>
    <w:bookmarkStart w:id="445"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36" w:name="fig-NDVI_GLI_SPC"/>
          <w:p>
            <w:pPr>
              <w:pStyle w:val="Compact"/>
              <w:jc w:val="center"/>
            </w:pPr>
            <w:r>
              <w:drawing>
                <wp:inline>
                  <wp:extent cx="5646420" cy="2823210"/>
                  <wp:effectExtent b="0" l="0" r="0" t="0"/>
                  <wp:docPr descr="" title="" id="434" name="Picture"/>
                  <a:graphic>
                    <a:graphicData uri="http://schemas.openxmlformats.org/drawingml/2006/picture">
                      <pic:pic>
                        <pic:nvPicPr>
                          <pic:cNvPr descr="Chapter5/Figs/SHSI_S2.png" id="435" name="Picture"/>
                          <pic:cNvPicPr>
                            <a:picLocks noChangeArrowheads="1" noChangeAspect="1"/>
                          </pic:cNvPicPr>
                        </pic:nvPicPr>
                        <pic:blipFill>
                          <a:blip r:embed="rId433"/>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36"/>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40" w:name="fig-Map_darkening_Bathy"/>
          <w:p>
            <w:pPr>
              <w:pStyle w:val="Compact"/>
              <w:jc w:val="center"/>
            </w:pPr>
            <w:r>
              <w:drawing>
                <wp:inline>
                  <wp:extent cx="5646420" cy="4076715"/>
                  <wp:effectExtent b="0" l="0" r="0" t="0"/>
                  <wp:docPr descr="" title="" id="438" name="Picture"/>
                  <a:graphic>
                    <a:graphicData uri="http://schemas.openxmlformats.org/drawingml/2006/picture">
                      <pic:pic>
                        <pic:nvPicPr>
                          <pic:cNvPr descr="Chapter5/Figs/SHSI_S2_map.png" id="439" name="Picture"/>
                          <pic:cNvPicPr>
                            <a:picLocks noChangeArrowheads="1" noChangeAspect="1"/>
                          </pic:cNvPicPr>
                        </pic:nvPicPr>
                        <pic:blipFill>
                          <a:blip r:embed="rId437"/>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40"/>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44" w:name="fig-GAM_Emersion"/>
          <w:p>
            <w:pPr>
              <w:pStyle w:val="Compact"/>
              <w:jc w:val="center"/>
            </w:pPr>
            <w:r>
              <w:drawing>
                <wp:inline>
                  <wp:extent cx="5646420" cy="2823210"/>
                  <wp:effectExtent b="0" l="0" r="0" t="0"/>
                  <wp:docPr descr="" title="" id="442" name="Picture"/>
                  <a:graphic>
                    <a:graphicData uri="http://schemas.openxmlformats.org/drawingml/2006/picture">
                      <pic:pic>
                        <pic:nvPicPr>
                          <pic:cNvPr descr="Chapter5/Figs/GAM_emersion.png" id="443" name="Picture"/>
                          <pic:cNvPicPr>
                            <a:picLocks noChangeArrowheads="1" noChangeAspect="1"/>
                          </pic:cNvPicPr>
                        </pic:nvPicPr>
                        <pic:blipFill>
                          <a:blip r:embed="rId441"/>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44"/>
        </w:tc>
      </w:tr>
    </w:tbl>
    <w:bookmarkEnd w:id="445"/>
    <w:bookmarkEnd w:id="446"/>
    <w:bookmarkEnd w:id="447"/>
    <w:bookmarkStart w:id="452" w:name="discussion-3"/>
    <w:p>
      <w:pPr>
        <w:pStyle w:val="Heading2"/>
      </w:pPr>
      <w:r>
        <w:t xml:space="preserve">5.4 Discussion</w:t>
      </w:r>
    </w:p>
    <w:bookmarkStart w:id="448"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48"/>
    <w:bookmarkStart w:id="449"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49"/>
    <w:bookmarkStart w:id="450"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50"/>
    <w:bookmarkStart w:id="451"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51"/>
    <w:bookmarkEnd w:id="452"/>
    <w:bookmarkStart w:id="453"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53"/>
    <w:bookmarkStart w:id="459" w:name="annexes-1"/>
    <w:p>
      <w:pPr>
        <w:pStyle w:val="Heading2"/>
      </w:pPr>
      <w:r>
        <w:t xml:space="preserve">5.6 Annexes</w:t>
      </w:r>
    </w:p>
    <w:bookmarkStart w:id="458"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57" w:name="fig-temperatureAnnexe"/>
          <w:p>
            <w:pPr>
              <w:pStyle w:val="Compact"/>
              <w:jc w:val="center"/>
            </w:pPr>
            <w:r>
              <w:drawing>
                <wp:inline>
                  <wp:extent cx="3566160" cy="3566160"/>
                  <wp:effectExtent b="0" l="0" r="0" t="0"/>
                  <wp:docPr descr="" title="" id="455" name="Picture"/>
                  <a:graphic>
                    <a:graphicData uri="http://schemas.openxmlformats.org/drawingml/2006/picture">
                      <pic:pic>
                        <pic:nvPicPr>
                          <pic:cNvPr descr="Chapter5/Figs/Temperature_compare.png" id="456" name="Picture"/>
                          <pic:cNvPicPr>
                            <a:picLocks noChangeArrowheads="1" noChangeAspect="1"/>
                          </pic:cNvPicPr>
                        </pic:nvPicPr>
                        <pic:blipFill>
                          <a:blip r:embed="rId454"/>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57"/>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58"/>
    <w:bookmarkEnd w:id="459"/>
    <w:bookmarkEnd w:id="460"/>
    <w:bookmarkStart w:id="470"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soft-bottom intertidal vegetation at multispectral resolution, (2) developmachine learning algorithms for accurate vegetation classification and ecosystem monitoring, and (3) Apply the methodology to map invasive species and analyse the effect of heatwaves on seagrass.</w:t>
      </w:r>
      <w:r>
        <w:t xml:space="preserve"> </w:t>
      </w:r>
      <w:r>
        <w:t xml:space="preserve">This work underscores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obtaining explicit spatial distribution maps of the main classes of intertidal vegetaiton. Integrating ground-based, drone, and satellite observations proved pivotal in bridging spatial and temporal gaps, enabling a more comprehensive understanding of ecosystem structure and dynamics.</w:t>
      </w:r>
      <w:r>
        <w:t xml:space="preserve"> </w:t>
      </w:r>
      <w:r>
        <w:t xml:space="preserve">This concluding section reviews the key scientific advancements made through the application of RS to intertidal ecosystems, the challenges encountered, and future research directions.</w:t>
      </w:r>
    </w:p>
    <w:bookmarkStart w:id="461"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slight variations in the spectral signatures of intertidal green macrophytes enable this discrimination to arise from differences in the proportions in which these pigments are present in each vegetation types.</w:t>
      </w:r>
      <w:r>
        <w:t xml:space="preserve"> </w:t>
      </w:r>
      <w:r>
        <w:t xml:space="preserve">Pigment concentrations and ratios are not static over time following phenological cycles, are impacted by stress conditions or may not be uniform within a species due to phenotypic variability, limiting the application of the method developed here to certain conditions. The classification method was developed across a wide geographical range, with the initial objective of discriminating among green macrophytes. The Drone Intertidal Substrate Classification of Vegetation (DISCOV) machine-learning algorithm was designed to be dynamic and adaptable, allowing continuous evolution over time. The algorithm open-source, with its complete code and training/validation dataset openly shared on GitHub (https://github.com/SigOiry/ ;</w:t>
      </w:r>
      <w:r>
        <w:t xml:space="preserve"> </w:t>
      </w:r>
      <w:r>
        <w:t xml:space="preserve">Oiry et al. (2024)</w:t>
      </w:r>
      <w:r>
        <w:t xml:space="preserve">). This flexibility proved invaluable when adapting the algorithm to specifically target a species from a different class of intertidal vegetation: the invasive rhodophyte</w:t>
      </w:r>
      <w:r>
        <w:t xml:space="preserve"> </w:t>
      </w:r>
      <w:r>
        <w:rPr>
          <w:i/>
          <w:iCs/>
        </w:rPr>
        <w:t xml:space="preserve">Gracilaria vermiculophylla</w:t>
      </w:r>
      <w:r>
        <w:t xml:space="preserve">.</w:t>
      </w:r>
    </w:p>
    <w:p>
      <w:pPr>
        <w:pStyle w:val="BodyText"/>
      </w:pPr>
      <w:r>
        <w:t xml:space="preserve">Interestingly, DISCOV v1.0 exhibited poor performance in identifying this red macroalgae,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61"/>
    <w:bookmarkStart w:id="466" w:name="drone-and-satellite-interactions"/>
    <w:p>
      <w:pPr>
        <w:pStyle w:val="Heading2"/>
      </w:pPr>
      <w:r>
        <w:t xml:space="preserve">6.2 Drone and Satellite Interactions</w:t>
      </w:r>
    </w:p>
    <w:p>
      <w:pPr>
        <w:pStyle w:val="FirstParagraph"/>
      </w:pPr>
      <w:r>
        <w:t xml:space="preserve">UAVs provide high spatial resolution imagery,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Integrating UAV-derived observations and field-specific data, is particularly relevant for developing machine-learning workflow in complex environments such as intertidal zones.</w:t>
      </w:r>
    </w:p>
    <w:p>
      <w:pPr>
        <w:pStyle w:val="BodyText"/>
      </w:pPr>
      <w:r>
        <w:t xml:space="preserve">Satellites, such as Sentinel-2, complement UAVs by offering broad spatial coverage and consistent temporal monitoring, facilitating seasonal and inter-annual changes assessment.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65" w:name="fig-WorkflowBede"/>
          <w:p>
            <w:pPr>
              <w:pStyle w:val="Compact"/>
              <w:jc w:val="center"/>
            </w:pPr>
            <w:r>
              <w:drawing>
                <wp:inline>
                  <wp:extent cx="5943600" cy="5281640"/>
                  <wp:effectExtent b="0" l="0" r="0" t="0"/>
                  <wp:docPr descr="" title="" id="463" name="Picture"/>
                  <a:graphic>
                    <a:graphicData uri="http://schemas.openxmlformats.org/drawingml/2006/picture">
                      <pic:pic>
                        <pic:nvPicPr>
                          <pic:cNvPr descr="Chapter6/Figs/WorkflowBede.jpg" id="464" name="Picture"/>
                          <pic:cNvPicPr>
                            <a:picLocks noChangeArrowheads="1" noChangeAspect="1"/>
                          </pic:cNvPicPr>
                        </pic:nvPicPr>
                        <pic:blipFill>
                          <a:blip r:embed="rId462"/>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a process for neural netwok classification model building and seagrass cover (%) from this classification, with example images showing the process from Sentinel-2 Data to Habitat Classification to Seagrass Cover. From</w:t>
            </w:r>
            <w:r>
              <w:t xml:space="preserve"> </w:t>
            </w:r>
            <w:r>
              <w:t xml:space="preserve">Davies et al. (2024a)</w:t>
            </w:r>
            <w:r>
              <w:t xml:space="preserve">.</w:t>
            </w:r>
          </w:p>
          <w:bookmarkEnd w:id="465"/>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balances local accuracy and scalability, reducing the costs associated with large-scale monitoring while preserving the depth of localized observations necessary for comprehensive assessments.</w:t>
      </w:r>
    </w:p>
    <w:p>
      <w:pPr>
        <w:pStyle w:val="BodyText"/>
      </w:pPr>
      <w:r>
        <w:t xml:space="preserve">Integrating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66"/>
    <w:bookmarkStart w:id="467"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67"/>
    <w:bookmarkStart w:id="468" w:name="Xd19506168b9305a4e9fd1715a7f698557645a68"/>
    <w:p>
      <w:pPr>
        <w:pStyle w:val="Heading2"/>
      </w:pPr>
      <w:r>
        <w:t xml:space="preserve">6.4 Assessing Coastal Ecosystem Threats Through Remote Sensing</w:t>
      </w:r>
    </w:p>
    <w:p>
      <w:pPr>
        <w:pStyle w:val="FirstParagraph"/>
      </w:pPr>
      <w:r>
        <w:rPr>
          <w:b/>
          <w:bCs/>
        </w:rPr>
        <w:t xml:space="preserve">…..Work in Progress …..</w:t>
      </w:r>
    </w:p>
    <w:p>
      <w:pPr>
        <w:pStyle w:val="BodyText"/>
      </w:pPr>
      <w:r>
        <w:t xml:space="preserve">Remote sensing technologies have revolutionized the assessment of pressures on coastal ecosystems, providing a powerful means to monitor changes over spatial and temporal scales. Coastal ecosystems, such as seagrass meadows and intertidal habitats, face a variety of pressures, including climate-induced stress, eutrophication, and habitat fragmentation. Traditional field surveys, while valuable, are often time-intensive and limited in coverage. RS offers a complementary approach, enabling consistent, high-resolution monitoring across extensive areas. Multispectral and hyperspectral imaging, in particular, allow for detailed analysis of vegetation health, species composition, and stress indicators (see Chapter 4 &amp; 5, Muller-Karger et al. 2018; Murray et al. 2015).</w:t>
      </w:r>
    </w:p>
    <w:p>
      <w:pPr>
        <w:pStyle w:val="BodyText"/>
      </w:pPr>
      <w:r>
        <w:t xml:space="preserve">Monitoring coastal threats through remote sensing involves the use of satellite-based platforms such as Sentinel-2, Landsat, and MODIS, which provide data for evaluating changes in vegetation indices (e.g., NDVI) and other parameters linked to ecological health. These indices are critical for detecting early signs of ecosystem degradation, such as seagrass browning or invasive species proliferation</w:t>
      </w:r>
      <w:r>
        <w:t xml:space="preserve"> </w:t>
      </w:r>
      <w:r>
        <w:t xml:space="preserve">(Murray et al., 2018, 2015)</w:t>
      </w:r>
      <w:r>
        <w:t xml:space="preserve">. Additionally, airborne sensors and unmanned aerial vehicles (UAVs) enhance spatial resolution, making it possible to map finer-scale features such as algal blooms or sediment displacement caused by coastal erosion or states of species invasion</w:t>
      </w:r>
      <w:r>
        <w:t xml:space="preserve"> </w:t>
      </w:r>
      <w:r>
        <w:t xml:space="preserve">(Davies et al., 2023a; Muller-Karger et al., 2018)</w:t>
      </w:r>
      <w:r>
        <w:t xml:space="preserve">.</w:t>
      </w:r>
    </w:p>
    <w:p>
      <w:pPr>
        <w:pStyle w:val="BodyText"/>
      </w:pPr>
      <w:r>
        <w:t xml:space="preserve">Remote sensing also contributes significantly to structured ecosystem risk assessments, as it enables the integration of spatial and temporal data into predictive models. For instance, the DAPSI(W)R(M) framework incorporates RS data to analyze drivers, pressures, and state changes, supporting holistic management of marine and coastal environments</w:t>
      </w:r>
      <w:r>
        <w:t xml:space="preserve"> </w:t>
      </w:r>
      <w:r>
        <w:t xml:space="preserve">(Mahrad et al., 2020; Murray et al., 2018)</w:t>
      </w:r>
      <w:r>
        <w:t xml:space="preserve">. By employing long-term datasets, RS technologies help identify trends in habitat loss or recovery, offering a vital tool for both researchers and policymakers aiming to address environmental challenges and implement sustainable management strategies</w:t>
      </w:r>
      <w:r>
        <w:t xml:space="preserve"> </w:t>
      </w:r>
      <w:r>
        <w:t xml:space="preserve">(Muller-Karger et al., 2018; Murray et al., 2018)</w:t>
      </w:r>
      <w:r>
        <w:t xml:space="preserve">.</w:t>
      </w:r>
    </w:p>
    <w:p>
      <w:pPr>
        <w:pStyle w:val="BodyText"/>
      </w:pPr>
      <w:r>
        <w:t xml:space="preserve">Through its application in environmental monitoring and modeling, remote sensing facilitates a comprehensive understanding of coastal ecosystem dynamics. Its ability to provide both large-scale overviews and detailed local assessments makes it an indispensable resource for managing and mitigating the impacts of anthropogenic and natural stressors on fragile coastal zones.</w:t>
      </w:r>
    </w:p>
    <w:bookmarkEnd w:id="468"/>
    <w:bookmarkStart w:id="469" w:name="perspectives"/>
    <w:p>
      <w:pPr>
        <w:pStyle w:val="Heading2"/>
      </w:pPr>
      <w:r>
        <w:t xml:space="preserve">6.5 Perspectives</w:t>
      </w:r>
    </w:p>
    <w:p>
      <w:pPr>
        <w:pStyle w:val="FirstParagraph"/>
      </w:pPr>
      <w:r>
        <w:rPr>
          <w:b/>
          <w:bCs/>
        </w:rPr>
        <w:t xml:space="preserve">….Work in Progess…..</w:t>
      </w:r>
    </w:p>
    <w:p>
      <w:pPr>
        <w:pStyle w:val="BodyText"/>
      </w:pPr>
      <w:r>
        <w:t xml:space="preserve">Seagrass restoration refers to the active and strategic process of reestablishing seagrass meadows in areas where they have been degraded or lost, aiming to reverse habitat loss and enhance ecosystem resilience. These efforts involve transplanting seagrass shoots, enhancing natural recovery processes, and improving environmental conditions to support seagrass growth.</w:t>
      </w:r>
    </w:p>
    <w:p>
      <w:pPr>
        <w:pStyle w:val="BodyText"/>
      </w:pPr>
      <w:r>
        <w:t xml:space="preserve">For instance, in Arcachon Bay, France, seagrass meadows, primarily Zostera noltei, historically covered approximately 40 km² of the bay, making it one of the largest seagrass habitats in Europe</w:t>
      </w:r>
      <w:r>
        <w:t xml:space="preserve"> </w:t>
      </w:r>
      <w:r>
        <w:t xml:space="preserve">(Cognat et al., 2018)</w:t>
      </w:r>
      <w:r>
        <w:t xml:space="preserve">. These meadows experienced a drastic decline, losing over 40% of their coverage between 1989 and 2019</w:t>
      </w:r>
      <w:r>
        <w:t xml:space="preserve"> </w:t>
      </w:r>
      <w:r>
        <w:t xml:space="preserve">(Muller et al., 2024)</w:t>
      </w:r>
      <w:r>
        <w:t xml:space="preserve">. Recognizing this loss, the Natural Marine Park of Arcachon Bay launched active restoration efforts, including the transplantation of Zostera noltei sods and participatory seed collection initiatives.</w:t>
      </w:r>
      <w:r>
        <w:t xml:space="preserve"> </w:t>
      </w:r>
      <w:r>
        <w:t xml:space="preserve">Laurent (2024)</w:t>
      </w:r>
      <w:r>
        <w:t xml:space="preserve"> </w:t>
      </w:r>
      <w:r>
        <w:t xml:space="preserve">have shown that after the first monitoring, 85% of the transplanted sods (405 out of 476) had survived, with all 9 sods surviving in 68% of the sites (36 stations), showing a promising start. However, on the two flats monitored twice, a high mortality rate of around 60% was recorded during the second monitoring. Additionally, 82% of transplants expanded at the first monitoring, but only 10% maintained this expansion in the second monitoring, reflecting the complexity of long-term restoration success. This case study highlights the challenges faced by seagrass restoration efforts.</w:t>
      </w:r>
    </w:p>
    <w:bookmarkEnd w:id="469"/>
    <w:bookmarkEnd w:id="470"/>
    <w:bookmarkStart w:id="975" w:name="references"/>
    <w:p>
      <w:pPr>
        <w:pStyle w:val="Heading1"/>
      </w:pPr>
      <w:r>
        <w:t xml:space="preserve">References</w:t>
      </w:r>
    </w:p>
    <w:bookmarkStart w:id="974" w:name="refs"/>
    <w:bookmarkStart w:id="471" w:name="ref-abiodun2018state"/>
    <w:p>
      <w:pPr>
        <w:pStyle w:val="Bibliography"/>
      </w:pPr>
      <w:r>
        <w:t xml:space="preserve">Abiodun, O.I., Jantan, A., Omolara, A.E., Dada, K.V., Mohamed, N.A., Arshad, H., 2018. State-of-the-art in artificial neural network applications: A survey. Heliyon 4.</w:t>
      </w:r>
    </w:p>
    <w:bookmarkEnd w:id="471"/>
    <w:bookmarkStart w:id="472"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72"/>
    <w:bookmarkStart w:id="473" w:name="ref-adade2021"/>
    <w:p>
      <w:pPr>
        <w:pStyle w:val="Bibliography"/>
      </w:pPr>
      <w:r>
        <w:t xml:space="preserve">Adade, R., Aibinu, A.M., Ekumah, B., Asaana, J., 2021. Unmanned aerial vehicle (UAV) applications in coastal zone management—a review. Environmental Monitoring and Assessment 193, 1–12.</w:t>
      </w:r>
    </w:p>
    <w:bookmarkEnd w:id="473"/>
    <w:bookmarkStart w:id="475" w:name="ref-agisoft"/>
    <w:p>
      <w:pPr>
        <w:pStyle w:val="Bibliography"/>
      </w:pPr>
      <w:r>
        <w:t xml:space="preserve">Agisoft, 2019.</w:t>
      </w:r>
      <w:r>
        <w:t xml:space="preserve"> </w:t>
      </w:r>
      <w:hyperlink r:id="rId474">
        <w:r>
          <w:rPr>
            <w:rStyle w:val="Hyperlink"/>
          </w:rPr>
          <w:t xml:space="preserve">Agisoft metashape</w:t>
        </w:r>
      </w:hyperlink>
      <w:r>
        <w:t xml:space="preserve">.</w:t>
      </w:r>
    </w:p>
    <w:bookmarkEnd w:id="475"/>
    <w:bookmarkStart w:id="476" w:name="ref-ahmed2016coastal"/>
    <w:p>
      <w:pPr>
        <w:pStyle w:val="Bibliography"/>
      </w:pPr>
      <w:r>
        <w:t xml:space="preserve">Ahmed, N., Glaser, M., 2016. Coastal aquaculture, mangrove deforestation and blue carbon emissions: Is REDD+ a solution? Marine Policy 66, 58–66.</w:t>
      </w:r>
    </w:p>
    <w:bookmarkEnd w:id="476"/>
    <w:bookmarkStart w:id="477"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77"/>
    <w:bookmarkStart w:id="478" w:name="ref-alongi2012carbon"/>
    <w:p>
      <w:pPr>
        <w:pStyle w:val="Bibliography"/>
      </w:pPr>
      <w:r>
        <w:t xml:space="preserve">Alongi, D.M., 2012. Carbon sequestration in mangrove forests. Carbon management 3, 313–322.</w:t>
      </w:r>
    </w:p>
    <w:bookmarkEnd w:id="478"/>
    <w:bookmarkStart w:id="479"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79"/>
    <w:bookmarkStart w:id="480" w:name="ref-arim2006spread"/>
    <w:p>
      <w:pPr>
        <w:pStyle w:val="Bibliography"/>
      </w:pPr>
      <w:r>
        <w:t xml:space="preserve">Arim, M., Abades, S.R., Neill, P.E., Lima, M., Marquet, P.A., 2006. Spread dynamics of invasive species. Proceedings of the National Academy of Sciences 103, 374–378.</w:t>
      </w:r>
    </w:p>
    <w:bookmarkEnd w:id="480"/>
    <w:bookmarkStart w:id="481"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81"/>
    <w:bookmarkStart w:id="482" w:name="ref-armitage2016carbon"/>
    <w:p>
      <w:pPr>
        <w:pStyle w:val="Bibliography"/>
      </w:pPr>
      <w:r>
        <w:t xml:space="preserve">Armitage, A., Fourqurean, J.W., 2016. Carbon storage in seagrass soils: Long-term nutrient history exceeds the effects of near-term nutrient enrichment. Biogeosciences 13, 313–321.</w:t>
      </w:r>
    </w:p>
    <w:bookmarkEnd w:id="482"/>
    <w:bookmarkStart w:id="484" w:name="ref-ASI2020"/>
    <w:p>
      <w:pPr>
        <w:pStyle w:val="Bibliography"/>
      </w:pPr>
      <w:r>
        <w:t xml:space="preserve">ASI, n.d.</w:t>
      </w:r>
      <w:r>
        <w:t xml:space="preserve"> </w:t>
      </w:r>
      <w:hyperlink r:id="rId483">
        <w:r>
          <w:rPr>
            <w:rStyle w:val="Hyperlink"/>
          </w:rPr>
          <w:t xml:space="preserve">PRISMA products specification document issue 2.3 date 12/03/2020</w:t>
        </w:r>
      </w:hyperlink>
      <w:r>
        <w:t xml:space="preserve">.</w:t>
      </w:r>
    </w:p>
    <w:bookmarkEnd w:id="484"/>
    <w:bookmarkStart w:id="485"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85"/>
    <w:bookmarkStart w:id="486"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86"/>
    <w:bookmarkStart w:id="487" w:name="ref-barbier2015valuing"/>
    <w:p>
      <w:pPr>
        <w:pStyle w:val="Bibliography"/>
      </w:pPr>
      <w:r>
        <w:t xml:space="preserve">Barbier, E.B., 2015. Valuing the storm protection service of estuarine and coastal ecosystems. Ecosystem Services 11, 32–38.</w:t>
      </w:r>
    </w:p>
    <w:bookmarkEnd w:id="487"/>
    <w:bookmarkStart w:id="488" w:name="ref-barbier2011value"/>
    <w:p>
      <w:pPr>
        <w:pStyle w:val="Bibliography"/>
      </w:pPr>
      <w:r>
        <w:t xml:space="preserve">Barbier, E.B., Hacker, S.D., Kennedy, C., Koch, E.W., Stier, A.C., Silliman, B.R., 2011. The value of estuarine and coastal ecosystem services. Ecological monographs 81, 169–193.</w:t>
      </w:r>
    </w:p>
    <w:bookmarkEnd w:id="488"/>
    <w:bookmarkStart w:id="489" w:name="ref-Bargain2012"/>
    <w:p>
      <w:pPr>
        <w:pStyle w:val="Bibliography"/>
      </w:pPr>
      <w:r>
        <w:t xml:space="preserve">Bargain, A., Robin, M., Le Men, E., Huete, A., Barillé, L., 2012. Spectral response of the seagrass zostera noltii with different sediment backgrounds. Aquatic Botany 98, 45–56.</w:t>
      </w:r>
    </w:p>
    <w:bookmarkEnd w:id="489"/>
    <w:bookmarkStart w:id="491"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90">
        <w:r>
          <w:rPr>
            <w:rStyle w:val="Hyperlink"/>
          </w:rPr>
          <w:t xml:space="preserve">https://doi.org/10.1016/j.jembe.2013.04.012</w:t>
        </w:r>
      </w:hyperlink>
    </w:p>
    <w:bookmarkEnd w:id="491"/>
    <w:bookmarkStart w:id="493"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92">
        <w:r>
          <w:rPr>
            <w:rStyle w:val="Hyperlink"/>
          </w:rPr>
          <w:t xml:space="preserve">https://doi.org/10.1016/j.rse.2010.12.008</w:t>
        </w:r>
      </w:hyperlink>
    </w:p>
    <w:bookmarkEnd w:id="493"/>
    <w:bookmarkStart w:id="495"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94">
        <w:r>
          <w:rPr>
            <w:rStyle w:val="Hyperlink"/>
          </w:rPr>
          <w:t xml:space="preserve">https://doi.org/10.1016/j.aquabot.2009.11.006</w:t>
        </w:r>
      </w:hyperlink>
    </w:p>
    <w:bookmarkEnd w:id="495"/>
    <w:bookmarkStart w:id="496"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96"/>
    <w:bookmarkStart w:id="497"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97"/>
    <w:bookmarkStart w:id="498" w:name="ref-beach1997vivo"/>
    <w:p>
      <w:pPr>
        <w:pStyle w:val="Bibliography"/>
      </w:pPr>
      <w:r>
        <w:t xml:space="preserve">Beach, K., Borgeas, H., Nishimura, N., Smith, C., 1997. In vivo absorbance spectra and the ecophysiology of reef macroalgae. Coral Reefs 16, 21–28.</w:t>
      </w:r>
    </w:p>
    <w:bookmarkEnd w:id="498"/>
    <w:bookmarkStart w:id="500"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99">
        <w:r>
          <w:rPr>
            <w:rStyle w:val="Hyperlink"/>
          </w:rPr>
          <w:t xml:space="preserve">https://doi.org/10.1007/s12237-021-00949-8</w:t>
        </w:r>
      </w:hyperlink>
    </w:p>
    <w:bookmarkEnd w:id="500"/>
    <w:bookmarkStart w:id="501" w:name="ref-bendor2006spatial"/>
    <w:p>
      <w:pPr>
        <w:pStyle w:val="Bibliography"/>
      </w:pPr>
      <w:r>
        <w:t xml:space="preserve">BenDor, T.K., Metcalf, S.S., 2006. The spatial dynamics of invasive species spread. System Dynamics Review: The Journal of the System Dynamics Society 22, 27–50.</w:t>
      </w:r>
    </w:p>
    <w:bookmarkEnd w:id="501"/>
    <w:bookmarkStart w:id="502"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502"/>
    <w:bookmarkStart w:id="504"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503">
        <w:r>
          <w:rPr>
            <w:rStyle w:val="Hyperlink"/>
          </w:rPr>
          <w:t xml:space="preserve">https://doi.org/10.3354/meps14588</w:t>
        </w:r>
      </w:hyperlink>
    </w:p>
    <w:bookmarkEnd w:id="504"/>
    <w:bookmarkStart w:id="505"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505"/>
    <w:bookmarkStart w:id="507"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506">
        <w:r>
          <w:rPr>
            <w:rStyle w:val="Hyperlink"/>
          </w:rPr>
          <w:t xml:space="preserve">https://doi.org/10.1016/j.seares.2014.02.014</w:t>
        </w:r>
      </w:hyperlink>
    </w:p>
    <w:bookmarkEnd w:id="507"/>
    <w:bookmarkStart w:id="508" w:name="ref-blum2009drowning"/>
    <w:p>
      <w:pPr>
        <w:pStyle w:val="Bibliography"/>
      </w:pPr>
      <w:r>
        <w:t xml:space="preserve">Blum, M.D., Roberts, H.H., 2009. Drowning of the mississippi delta due to insufficient sediment supply and global sea-level rise. Nature geoscience 2, 488–491.</w:t>
      </w:r>
    </w:p>
    <w:bookmarkEnd w:id="508"/>
    <w:bookmarkStart w:id="509"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509"/>
    <w:bookmarkStart w:id="510"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510"/>
    <w:bookmarkStart w:id="511"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511"/>
    <w:bookmarkStart w:id="512"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512"/>
    <w:bookmarkStart w:id="513" w:name="ref-breiman2001random"/>
    <w:p>
      <w:pPr>
        <w:pStyle w:val="Bibliography"/>
      </w:pPr>
      <w:r>
        <w:t xml:space="preserve">Breiman, L., 2001. Random forests. Machine learning 45, 5–32.</w:t>
      </w:r>
    </w:p>
    <w:bookmarkEnd w:id="513"/>
    <w:bookmarkStart w:id="515" w:name="ref-Brondizio2019"/>
    <w:p>
      <w:pPr>
        <w:pStyle w:val="Bibliography"/>
      </w:pPr>
      <w:r>
        <w:t xml:space="preserve">Brondízio, E.S., Settele, J., Díaz, S., Ngo, H.T.(eds)., 2019.</w:t>
      </w:r>
      <w:r>
        <w:t xml:space="preserve"> </w:t>
      </w:r>
      <w:hyperlink r:id="rId514">
        <w:r>
          <w:rPr>
            <w:rStyle w:val="Hyperlink"/>
          </w:rPr>
          <w:t xml:space="preserve">IPBES (2019), Global assessment report of the Intergovernmental Science-Policy Platform on Biodiversity and Ecosystem Services</w:t>
        </w:r>
      </w:hyperlink>
      <w:r>
        <w:t xml:space="preserve">.</w:t>
      </w:r>
    </w:p>
    <w:bookmarkEnd w:id="515"/>
    <w:bookmarkStart w:id="517"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516">
        <w:r>
          <w:rPr>
            <w:rStyle w:val="Hyperlink"/>
          </w:rPr>
          <w:t xml:space="preserve">https://doi.org/10.3390/RS14020307</w:t>
        </w:r>
      </w:hyperlink>
    </w:p>
    <w:bookmarkEnd w:id="517"/>
    <w:bookmarkStart w:id="518"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518"/>
    <w:bookmarkStart w:id="519"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519"/>
    <w:bookmarkStart w:id="521"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520">
        <w:r>
          <w:rPr>
            <w:rStyle w:val="Hyperlink"/>
          </w:rPr>
          <w:t xml:space="preserve">https://doi.org/10.18637/jss.v100.i05</w:t>
        </w:r>
      </w:hyperlink>
    </w:p>
    <w:bookmarkEnd w:id="521"/>
    <w:bookmarkStart w:id="523"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522">
        <w:r>
          <w:rPr>
            <w:rStyle w:val="Hyperlink"/>
          </w:rPr>
          <w:t xml:space="preserve">https://doi.org/10.32614/RJ-2018-017</w:t>
        </w:r>
      </w:hyperlink>
    </w:p>
    <w:bookmarkEnd w:id="523"/>
    <w:bookmarkStart w:id="525"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524">
        <w:r>
          <w:rPr>
            <w:rStyle w:val="Hyperlink"/>
          </w:rPr>
          <w:t xml:space="preserve">https://doi.org/10.18637/jss.v080.i01</w:t>
        </w:r>
      </w:hyperlink>
    </w:p>
    <w:bookmarkEnd w:id="525"/>
    <w:bookmarkStart w:id="526"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26"/>
    <w:bookmarkStart w:id="527"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27"/>
    <w:bookmarkStart w:id="528"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28"/>
    <w:bookmarkStart w:id="529" w:name="ref-canadell2021ecosystem"/>
    <w:p>
      <w:pPr>
        <w:pStyle w:val="Bibliography"/>
      </w:pPr>
      <w:r>
        <w:t xml:space="preserve">Canadell, J.G., Jackson, R.B., 2021. Ecosystem collapse and climate change. Springer.</w:t>
      </w:r>
    </w:p>
    <w:bookmarkEnd w:id="529"/>
    <w:bookmarkStart w:id="531" w:name="ref-Cao2017"/>
    <w:p>
      <w:pPr>
        <w:pStyle w:val="Bibliography"/>
      </w:pPr>
      <w:r>
        <w:t xml:space="preserve">Cao, F., Yang, Z., Ren, J., Jiang, M., Ling, W.-K., 2017.</w:t>
      </w:r>
      <w:r>
        <w:t xml:space="preserve"> </w:t>
      </w:r>
      <w:hyperlink r:id="rId530">
        <w:r>
          <w:rPr>
            <w:rStyle w:val="Hyperlink"/>
          </w:rPr>
          <w:t xml:space="preserve">Does Normalization Methods Play a Role for Hyperspectral Image Classification?</w:t>
        </w:r>
      </w:hyperlink>
      <w:r>
        <w:t xml:space="preserve"> </w:t>
      </w:r>
      <w:r>
        <w:t xml:space="preserve">2–7.</w:t>
      </w:r>
    </w:p>
    <w:bookmarkEnd w:id="531"/>
    <w:bookmarkStart w:id="532" w:name="ref-cao2022explicit"/>
    <w:p>
      <w:pPr>
        <w:pStyle w:val="Bibliography"/>
      </w:pPr>
      <w:r>
        <w:t xml:space="preserve">Cao, H., Wang, M., Su, S., Kang, M., 2022. Explicit quantification of coastal cultural ecosystem services: A novel approach based on the content and sentimental analysis of social media. Ecological Indicators 137, 108756.</w:t>
      </w:r>
    </w:p>
    <w:bookmarkEnd w:id="532"/>
    <w:bookmarkStart w:id="533"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33"/>
    <w:bookmarkStart w:id="534"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34"/>
    <w:bookmarkStart w:id="536"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35">
        <w:r>
          <w:rPr>
            <w:rStyle w:val="Hyperlink"/>
          </w:rPr>
          <w:t xml:space="preserve">https://doi.org/10.18637/jss.v076.i01</w:t>
        </w:r>
      </w:hyperlink>
    </w:p>
    <w:bookmarkEnd w:id="536"/>
    <w:bookmarkStart w:id="537"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37"/>
    <w:bookmarkStart w:id="539"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38">
        <w:r>
          <w:rPr>
            <w:rStyle w:val="Hyperlink"/>
          </w:rPr>
          <w:t xml:space="preserve">https://doi.org/10.1016/j.csr.2013.01.010</w:t>
        </w:r>
      </w:hyperlink>
    </w:p>
    <w:bookmarkEnd w:id="539"/>
    <w:bookmarkStart w:id="541"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40">
        <w:r>
          <w:rPr>
            <w:rStyle w:val="Hyperlink"/>
          </w:rPr>
          <w:t xml:space="preserve">https://doi.org/10.1007/s00227-012-1987-5</w:t>
        </w:r>
      </w:hyperlink>
    </w:p>
    <w:bookmarkEnd w:id="541"/>
    <w:bookmarkStart w:id="542" w:name="ref-casella2020"/>
    <w:p>
      <w:pPr>
        <w:pStyle w:val="Bibliography"/>
      </w:pPr>
      <w:r>
        <w:t xml:space="preserve">Casella, E., Drechsel, J., Winter, C., Benninghoff, M., Rovere, A., 2020. Accuracy of sand beach topography surveying by drones and photogrammetry. Geo-Marine Letters 40, 255–268.</w:t>
      </w:r>
    </w:p>
    <w:bookmarkEnd w:id="542"/>
    <w:bookmarkStart w:id="544" w:name="ref-Castaing1995"/>
    <w:p>
      <w:pPr>
        <w:pStyle w:val="Bibliography"/>
      </w:pPr>
      <w:r>
        <w:t xml:space="preserve">Castaing, P., Guilcher, A., 1995. Morphosedimentary evolution of ria-type estuaries. Earth Surface Processes and Landforms 20, 361–376.</w:t>
      </w:r>
      <w:r>
        <w:t xml:space="preserve"> </w:t>
      </w:r>
      <w:hyperlink r:id="rId543">
        <w:r>
          <w:rPr>
            <w:rStyle w:val="Hyperlink"/>
          </w:rPr>
          <w:t xml:space="preserve">https://doi.org/10.1002/esp.3290200408</w:t>
        </w:r>
      </w:hyperlink>
    </w:p>
    <w:bookmarkEnd w:id="544"/>
    <w:bookmarkStart w:id="545"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45"/>
    <w:bookmarkStart w:id="546"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46"/>
    <w:bookmarkStart w:id="548" w:name="ref-shinypck"/>
    <w:p>
      <w:pPr>
        <w:pStyle w:val="Bibliography"/>
      </w:pPr>
      <w:r>
        <w:t xml:space="preserve">Chang, W., Cheng, J., Allaire, J., Sievert, C., Schloerke, B., Xie, Y., Allen, J., McPherson, J., Dipert, A., Borges, B., 2024.</w:t>
      </w:r>
      <w:r>
        <w:t xml:space="preserve"> </w:t>
      </w:r>
      <w:hyperlink r:id="rId547">
        <w:r>
          <w:rPr>
            <w:rStyle w:val="Hyperlink"/>
          </w:rPr>
          <w:t xml:space="preserve">Shiny: Web application framework for r</w:t>
        </w:r>
      </w:hyperlink>
      <w:r>
        <w:t xml:space="preserve">.</w:t>
      </w:r>
    </w:p>
    <w:bookmarkEnd w:id="548"/>
    <w:bookmarkStart w:id="550"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49">
        <w:r>
          <w:rPr>
            <w:rStyle w:val="Hyperlink"/>
          </w:rPr>
          <w:t xml:space="preserve">https://doi.org/10.1016/j.algal.2017.04.021</w:t>
        </w:r>
      </w:hyperlink>
    </w:p>
    <w:bookmarkEnd w:id="550"/>
    <w:bookmarkStart w:id="551"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51"/>
    <w:bookmarkStart w:id="552" w:name="ref-chefaoui2018dramatic"/>
    <w:p>
      <w:pPr>
        <w:pStyle w:val="Bibliography"/>
      </w:pPr>
      <w:r>
        <w:t xml:space="preserve">Chefaoui, R.M., Duarte, C.M., Serrão, E.A., 2018. Dramatic loss of seagrass habitat under projected climate change in the mediterranean sea. Global change biology 24, 4919–4928.</w:t>
      </w:r>
    </w:p>
    <w:bookmarkEnd w:id="552"/>
    <w:bookmarkStart w:id="553" w:name="ref-cheng1994neural"/>
    <w:p>
      <w:pPr>
        <w:pStyle w:val="Bibliography"/>
      </w:pPr>
      <w:r>
        <w:t xml:space="preserve">Cheng, B., Titterington, D.M., 1994. Neural networks: A review from a statistical perspective. Statistical science 2–30.</w:t>
      </w:r>
    </w:p>
    <w:bookmarkEnd w:id="553"/>
    <w:bookmarkStart w:id="554" w:name="ref-christensen1977seaweeds"/>
    <w:p>
      <w:pPr>
        <w:pStyle w:val="Bibliography"/>
      </w:pPr>
      <w:r>
        <w:t xml:space="preserve">Christensen, T., Dixon, P.S., Irvine, L.M., 1977. Seaweeds of the british isles: Tribophyceae (xanthophyceae). British Museum (Natural History).</w:t>
      </w:r>
    </w:p>
    <w:bookmarkEnd w:id="554"/>
    <w:bookmarkStart w:id="555"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55"/>
    <w:bookmarkStart w:id="557"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56">
        <w:r>
          <w:rPr>
            <w:rStyle w:val="Hyperlink"/>
          </w:rPr>
          <w:t xml:space="preserve">https://doi.org/10.48670/moi-00311</w:t>
        </w:r>
      </w:hyperlink>
    </w:p>
    <w:bookmarkEnd w:id="557"/>
    <w:bookmarkStart w:id="558"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58"/>
    <w:bookmarkStart w:id="559"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59"/>
    <w:bookmarkStart w:id="560" w:name="ref-collin2019improving"/>
    <w:p>
      <w:pPr>
        <w:pStyle w:val="Bibliography"/>
      </w:pPr>
      <w:r>
        <w:t xml:space="preserve">Collin, A., Dubois, S., James, D., Houet, T., 2019. Improving intertidal reef mapping using UAV surface, red edge, and near-infrared data. Drones 3, 67.</w:t>
      </w:r>
    </w:p>
    <w:bookmarkEnd w:id="560"/>
    <w:bookmarkStart w:id="561"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61"/>
    <w:bookmarkStart w:id="562" w:name="ref-connor2001carbon"/>
    <w:p>
      <w:pPr>
        <w:pStyle w:val="Bibliography"/>
      </w:pPr>
      <w:r>
        <w:t xml:space="preserve">Connor, R.F., Chmura, G.L., Beecher, C.B., 2001. Carbon accumulation in bay of fundy salt marshes: Implications for restoration of reclaimed marshes. Global Biogeochemical Cycles 15, 943–954.</w:t>
      </w:r>
    </w:p>
    <w:bookmarkEnd w:id="562"/>
    <w:bookmarkStart w:id="563" w:name="ref-cooley2023oceans"/>
    <w:p>
      <w:pPr>
        <w:pStyle w:val="Bibliography"/>
      </w:pPr>
      <w:r>
        <w:t xml:space="preserve">Cooley, S., Schoeman, D., Bopp, L., Boyd, P., Donner, S., Kiessling, W., Martinetto, P., Ojea, E., Racault, M., Rost, B., others, 2023. Oceans and coastal ecosystems and their services.</w:t>
      </w:r>
    </w:p>
    <w:bookmarkEnd w:id="563"/>
    <w:bookmarkStart w:id="564"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64"/>
    <w:bookmarkStart w:id="565" w:name="ref-cosby2024accelerating"/>
    <w:p>
      <w:pPr>
        <w:pStyle w:val="Bibliography"/>
      </w:pPr>
      <w:r>
        <w:t xml:space="preserve">Cosby, A., Lebakula, V., Smith, C., Wanik, D., Bergene, K., Rose, A., Swanson, D., Bloom, D., 2024. Accelerating growth of human coastal populations at the global and continent levels: 2000–2018. Scientific Reports 14, 22489.</w:t>
      </w:r>
    </w:p>
    <w:bookmarkEnd w:id="565"/>
    <w:bookmarkStart w:id="56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66">
        <w:r>
          <w:rPr>
            <w:rStyle w:val="Hyperlink"/>
          </w:rPr>
          <w:t xml:space="preserve">https://doi.org/10.1016/j.ecolind.2020.107018</w:t>
        </w:r>
      </w:hyperlink>
    </w:p>
    <w:bookmarkEnd w:id="567"/>
    <w:bookmarkStart w:id="568"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68"/>
    <w:bookmarkStart w:id="569"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69"/>
    <w:bookmarkStart w:id="571"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70">
        <w:r>
          <w:rPr>
            <w:rStyle w:val="Hyperlink"/>
          </w:rPr>
          <w:t xml:space="preserve">https://doi.org/10.1007/s11099-007-0084-3</w:t>
        </w:r>
      </w:hyperlink>
    </w:p>
    <w:bookmarkEnd w:id="571"/>
    <w:bookmarkStart w:id="572"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72"/>
    <w:bookmarkStart w:id="573"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73"/>
    <w:bookmarkStart w:id="57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74">
        <w:r>
          <w:rPr>
            <w:rStyle w:val="Hyperlink"/>
          </w:rPr>
          <w:t xml:space="preserve">https://doi.org/10.1016/j.rse.2023.113554</w:t>
        </w:r>
      </w:hyperlink>
    </w:p>
    <w:bookmarkEnd w:id="575"/>
    <w:bookmarkStart w:id="576" w:name="ref-Davies2022b"/>
    <w:p>
      <w:pPr>
        <w:pStyle w:val="Bibliography"/>
      </w:pPr>
      <w:r>
        <w:t xml:space="preserve">Davies, B.F.R., Holmes, L., Attrill, M.J., Sheehan, E.V., 2022. Ecosystem benefits of adopting a whole-site approach to MPA management. Fisheries Management and Ecology.</w:t>
      </w:r>
    </w:p>
    <w:bookmarkEnd w:id="576"/>
    <w:bookmarkStart w:id="578"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77">
        <w:r>
          <w:rPr>
            <w:rStyle w:val="Hyperlink"/>
          </w:rPr>
          <w:t xml:space="preserve">https://doi.org/10.1038/s43247-024-01543-z</w:t>
        </w:r>
      </w:hyperlink>
    </w:p>
    <w:bookmarkEnd w:id="578"/>
    <w:bookmarkStart w:id="58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79">
        <w:r>
          <w:rPr>
            <w:rStyle w:val="Hyperlink"/>
          </w:rPr>
          <w:t xml:space="preserve">https://doi.org/10.1016/j.rse.2024.114340</w:t>
        </w:r>
      </w:hyperlink>
    </w:p>
    <w:bookmarkEnd w:id="580"/>
    <w:bookmarkStart w:id="582" w:name="ref-BedeGbif"/>
    <w:p>
      <w:pPr>
        <w:pStyle w:val="Bibliography"/>
      </w:pPr>
      <w:r>
        <w:t xml:space="preserve">Davies, B.F.R., Sousa, A.I., Figueira, R., Oiry, S., Gernez, P., Barillé, L., 2023b. Benthic intertidal vegetation from the tagus estuary and aveiro lagoon.</w:t>
      </w:r>
      <w:r>
        <w:t xml:space="preserve"> </w:t>
      </w:r>
      <w:hyperlink r:id="rId581">
        <w:r>
          <w:rPr>
            <w:rStyle w:val="Hyperlink"/>
          </w:rPr>
          <w:t xml:space="preserve">https://doi.org/10.15468/n4ak6x</w:t>
        </w:r>
      </w:hyperlink>
    </w:p>
    <w:bookmarkEnd w:id="582"/>
    <w:bookmarkStart w:id="583" w:name="ref-davis2003review"/>
    <w:p>
      <w:pPr>
        <w:pStyle w:val="Bibliography"/>
      </w:pPr>
      <w:r>
        <w:t xml:space="preserve">Davis, T.A., Volesky, B., Mucci, A., 2003. A review of the biochemistry of heavy metal biosorption by brown algae. Water research 37, 4311–4330.</w:t>
      </w:r>
    </w:p>
    <w:bookmarkEnd w:id="583"/>
    <w:bookmarkStart w:id="584"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84"/>
    <w:bookmarkStart w:id="585"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85"/>
    <w:bookmarkStart w:id="586" w:name="ref-de1995wind"/>
    <w:p>
      <w:pPr>
        <w:pStyle w:val="Bibliography"/>
      </w:pPr>
      <w:r>
        <w:t xml:space="preserve">De Jorge, V., Van Beusekom, J., 1995. Wind-and tide-induced resuspension of sediment and microphytobenthos from tidal flats in the ems estuary. Limnology and oceanography 40, 776–778.</w:t>
      </w:r>
    </w:p>
    <w:bookmarkEnd w:id="586"/>
    <w:bookmarkStart w:id="587" w:name="ref-decho2000microbial"/>
    <w:p>
      <w:pPr>
        <w:pStyle w:val="Bibliography"/>
      </w:pPr>
      <w:r>
        <w:t xml:space="preserve">Decho, A.W., 2000. Microbial biofilms in intertidal systems: An overview. Continental shelf research 20, 1257–1273.</w:t>
      </w:r>
    </w:p>
    <w:bookmarkEnd w:id="587"/>
    <w:bookmarkStart w:id="588"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88"/>
    <w:bookmarkStart w:id="589" w:name="ref-deguette2022physiological"/>
    <w:p>
      <w:pPr>
        <w:pStyle w:val="Bibliography"/>
      </w:pPr>
      <w:r>
        <w:t xml:space="preserve">Deguette, A., Barrote, I., Silva, J., 2022. Physiological and morphological effects of a marine heatwave on the seagrass cymodocea nodosa. Scientific Reports 12, 7950.</w:t>
      </w:r>
    </w:p>
    <w:bookmarkEnd w:id="589"/>
    <w:bookmarkStart w:id="590"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90"/>
    <w:bookmarkStart w:id="591" w:name="ref-desai2021measuring"/>
    <w:p>
      <w:pPr>
        <w:pStyle w:val="Bibliography"/>
      </w:pPr>
      <w:r>
        <w:t xml:space="preserve">Desai, R.M., Shambaugh, G.E., 2021. Measuring the global impact of destructive and illegal fishing on maritime piracy: A spatial analysis. Plos one 16, e0246835.</w:t>
      </w:r>
    </w:p>
    <w:bookmarkEnd w:id="591"/>
    <w:bookmarkStart w:id="592" w:name="ref-devi2024intensity"/>
    <w:p>
      <w:pPr>
        <w:pStyle w:val="Bibliography"/>
      </w:pPr>
      <w:r>
        <w:t xml:space="preserve">Devi, R., Gouda, K., Lenka, S., 2024. Intensity duration and frequency of heat wave in different phases of MJO over india. Atmospheric Research 300, 107250.</w:t>
      </w:r>
    </w:p>
    <w:bookmarkEnd w:id="592"/>
    <w:bookmarkStart w:id="593" w:name="ref-devlin2023nutrients"/>
    <w:p>
      <w:pPr>
        <w:pStyle w:val="Bibliography"/>
      </w:pPr>
      <w:r>
        <w:t xml:space="preserve">Devlin, M., Brodie, J., 2023. Nutrients and eutrophication, in: Marine Pollution–Monitoring, Management and Mitigation. Springer, pp. 75–100.</w:t>
      </w:r>
    </w:p>
    <w:bookmarkEnd w:id="593"/>
    <w:bookmarkStart w:id="595"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94">
        <w:r>
          <w:rPr>
            <w:rStyle w:val="Hyperlink"/>
          </w:rPr>
          <w:t xml:space="preserve">https://doi.org/10.1016/j.rse.2015.01.027</w:t>
        </w:r>
      </w:hyperlink>
    </w:p>
    <w:bookmarkEnd w:id="595"/>
    <w:bookmarkStart w:id="596"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96"/>
    <w:bookmarkStart w:id="598"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97">
        <w:r>
          <w:rPr>
            <w:rStyle w:val="Hyperlink"/>
          </w:rPr>
          <w:t xml:space="preserve">https://doi.org/10.3390/rs14133124</w:t>
        </w:r>
      </w:hyperlink>
    </w:p>
    <w:bookmarkEnd w:id="598"/>
    <w:bookmarkStart w:id="599" w:name="ref-douay2022new"/>
    <w:p>
      <w:pPr>
        <w:pStyle w:val="Bibliography"/>
      </w:pPr>
      <w:r>
        <w:t xml:space="preserve">Douay, F., Verpoorter, C., Duong, G., Spilmont, N., Gevaert, F., 2022. New hyperspectral procedure to discriminate intertidal macroalgae. Remote Sensing 14, 346.</w:t>
      </w:r>
    </w:p>
    <w:bookmarkEnd w:id="599"/>
    <w:bookmarkStart w:id="600"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600"/>
    <w:bookmarkStart w:id="601"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601"/>
    <w:bookmarkStart w:id="602"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602"/>
    <w:bookmarkStart w:id="603"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603"/>
    <w:bookmarkStart w:id="604"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604"/>
    <w:bookmarkStart w:id="605"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605"/>
    <w:bookmarkStart w:id="606"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606"/>
    <w:bookmarkStart w:id="607"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607"/>
    <w:bookmarkStart w:id="609" w:name="ref-electricblue_intertidal_chamber"/>
    <w:p>
      <w:pPr>
        <w:pStyle w:val="Bibliography"/>
      </w:pPr>
      <w:r>
        <w:t xml:space="preserve">Electric Blue, 2023.</w:t>
      </w:r>
      <w:r>
        <w:t xml:space="preserve"> </w:t>
      </w:r>
      <w:hyperlink r:id="rId608">
        <w:r>
          <w:rPr>
            <w:rStyle w:val="Hyperlink"/>
          </w:rPr>
          <w:t xml:space="preserve">Intertidal chamber</w:t>
        </w:r>
      </w:hyperlink>
      <w:r>
        <w:t xml:space="preserve">.</w:t>
      </w:r>
    </w:p>
    <w:bookmarkEnd w:id="609"/>
    <w:bookmarkStart w:id="610"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610"/>
    <w:bookmarkStart w:id="611" w:name="ref-elliott2011challenging"/>
    <w:p>
      <w:pPr>
        <w:pStyle w:val="Bibliography"/>
      </w:pPr>
      <w:r>
        <w:t xml:space="preserve">Elliott, M., Whitfield, A.K., 2011. Challenging paradigms in estuarine ecology and management. Estuarine, Coastal and Shelf Science 94, 306–314.</w:t>
      </w:r>
    </w:p>
    <w:bookmarkEnd w:id="611"/>
    <w:bookmarkStart w:id="612" w:name="ref-elton2020ecology"/>
    <w:p>
      <w:pPr>
        <w:pStyle w:val="Bibliography"/>
      </w:pPr>
      <w:r>
        <w:t xml:space="preserve">Elton, C.S., 2020. The ecology of invasions by animals and plants. Springer Nature.</w:t>
      </w:r>
    </w:p>
    <w:bookmarkEnd w:id="612"/>
    <w:bookmarkStart w:id="613" w:name="ref-sen2cor"/>
    <w:p>
      <w:pPr>
        <w:pStyle w:val="Bibliography"/>
      </w:pPr>
      <w:r>
        <w:t xml:space="preserve">ESA, 2024b. Sen2Cor: Sentinel-2 atmospheric correction processor.</w:t>
      </w:r>
    </w:p>
    <w:bookmarkEnd w:id="613"/>
    <w:bookmarkStart w:id="614" w:name="ref-copernicus_sentinel2"/>
    <w:p>
      <w:pPr>
        <w:pStyle w:val="Bibliography"/>
      </w:pPr>
      <w:r>
        <w:t xml:space="preserve">ESA, 2024a. Copernicus open access hub.</w:t>
      </w:r>
    </w:p>
    <w:bookmarkEnd w:id="614"/>
    <w:bookmarkStart w:id="615" w:name="ref-WFD2000"/>
    <w:p>
      <w:pPr>
        <w:pStyle w:val="Bibliography"/>
      </w:pPr>
      <w:r>
        <w:t xml:space="preserve">European-Commission, n.d. Official Journal of the European Communities L 327, 1–72.</w:t>
      </w:r>
    </w:p>
    <w:bookmarkEnd w:id="615"/>
    <w:bookmarkStart w:id="617" w:name="ref-eurostat_tsa_2023"/>
    <w:p>
      <w:pPr>
        <w:pStyle w:val="Bibliography"/>
      </w:pPr>
      <w:r>
        <w:t xml:space="preserve">Eurostat, 2023. Tourism satellite accounts in europe - 2023 edition. Publications Office of the European Union, Luxembourg.</w:t>
      </w:r>
      <w:r>
        <w:t xml:space="preserve"> </w:t>
      </w:r>
      <w:hyperlink r:id="rId616">
        <w:r>
          <w:rPr>
            <w:rStyle w:val="Hyperlink"/>
          </w:rPr>
          <w:t xml:space="preserve">https://doi.org/10.2785/7794</w:t>
        </w:r>
      </w:hyperlink>
    </w:p>
    <w:bookmarkEnd w:id="617"/>
    <w:bookmarkStart w:id="619" w:name="ref-IMO2020GHG"/>
    <w:p>
      <w:pPr>
        <w:pStyle w:val="Bibliography"/>
      </w:pPr>
      <w:r>
        <w:t xml:space="preserve">Faber, J., Hanayama, S., Zhang, S., Pereda, P., Comer, B., Hauerhof, E., Schim van der Loeff, W., Smith, T., Zhang, Y., Kosaka, H., Adachi, M., Bonello, J.-M., Galbraith, C., Gong, Z., Hirata, K., Hummels, D., Kleijn, A., Lee, D.S., Liu, Y., Lucchesi, A., Mao, X., Muraoka, E., Osipova, L., Qian, H., Rutherford, D., Suárez de la Fuente, S., Yuan, H., Velandia Perico, C., Wu, L., Sun, D., Yoo, D.-H., Xing, H., 2021.</w:t>
      </w:r>
      <w:r>
        <w:t xml:space="preserve"> </w:t>
      </w:r>
      <w:hyperlink r:id="rId618">
        <w:r>
          <w:rPr>
            <w:rStyle w:val="Hyperlink"/>
          </w:rPr>
          <w:t xml:space="preserve">Fourth IMO GHG study 2020: Executive summary</w:t>
        </w:r>
      </w:hyperlink>
      <w:r>
        <w:t xml:space="preserve">. International Maritime Organization (IMO), 4 Albert Embankment, London SE1 7SR.</w:t>
      </w:r>
    </w:p>
    <w:bookmarkEnd w:id="619"/>
    <w:bookmarkStart w:id="620"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620"/>
    <w:bookmarkStart w:id="621" w:name="ref-farmery2022food"/>
    <w:p>
      <w:pPr>
        <w:pStyle w:val="Bibliography"/>
      </w:pPr>
      <w:r>
        <w:t xml:space="preserve">Farmery, A.K., Alexander, K., Anderson, K., Blanchard, J.L., Carter, C.G., Evans, K., Fischer, M., Fleming, A., Frusher, S., Fulton, E.A., others, 2022. Food for all: Designing sustainable and secure future seafood systems. Reviews in fish biology and fisheries 32, 101–121.</w:t>
      </w:r>
    </w:p>
    <w:bookmarkEnd w:id="621"/>
    <w:bookmarkStart w:id="622" w:name="ref-firth2024invasive"/>
    <w:p>
      <w:pPr>
        <w:pStyle w:val="Bibliography"/>
      </w:pPr>
      <w:r>
        <w:t xml:space="preserve">Firth, L.B., Foggo, A., Watts, T., Knights, A.M., DeAmicis, S., 2024. Invasive macroalgae in native seagrass beds: Vectors of spread and impacts. Annals of Botany 133, 41–50.</w:t>
      </w:r>
    </w:p>
    <w:bookmarkEnd w:id="622"/>
    <w:bookmarkStart w:id="623" w:name="ref-foden2007angiosperms"/>
    <w:p>
      <w:pPr>
        <w:pStyle w:val="Bibliography"/>
      </w:pPr>
      <w:r>
        <w:t xml:space="preserve">Foden, J., Brazier, D., 2007. Angiosperms (seagrass) within the EU water framework directive: A UK perspective. Marine Pollution Bulletin 55, 181–195.</w:t>
      </w:r>
    </w:p>
    <w:bookmarkEnd w:id="623"/>
    <w:bookmarkStart w:id="624"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624"/>
    <w:bookmarkStart w:id="625" w:name="ref-fourqurean2012seagrass"/>
    <w:p>
      <w:pPr>
        <w:pStyle w:val="Bibliography"/>
      </w:pPr>
      <w:r>
        <w:t xml:space="preserve">Fourqurean, J.W., Duarte, C.M., Kennedy, H., Marbà, N., Holmer, M., Mateo, M.A., Apostolaki, E.T., Kendrick, G.A., Krause-Jensen, D., McGlathery, K.J., others, 2012. Seagrass ecosystems as a globally significant carbon stock. Nature geoscience 5, 505–509.</w:t>
      </w:r>
    </w:p>
    <w:bookmarkEnd w:id="625"/>
    <w:bookmarkStart w:id="626"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626"/>
    <w:bookmarkStart w:id="627"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627"/>
    <w:bookmarkStart w:id="629" w:name="ref-R-rsample"/>
    <w:p>
      <w:pPr>
        <w:pStyle w:val="Bibliography"/>
      </w:pPr>
      <w:r>
        <w:t xml:space="preserve">Frick, H., Chow, F., Kuhn, M., Mahoney, M., Silge, J., Wickham, H., 2024.</w:t>
      </w:r>
      <w:r>
        <w:t xml:space="preserve"> </w:t>
      </w:r>
      <w:hyperlink r:id="rId628">
        <w:r>
          <w:rPr>
            <w:rStyle w:val="Hyperlink"/>
          </w:rPr>
          <w:t xml:space="preserve">Rsample: General resampling infrastructure</w:t>
        </w:r>
      </w:hyperlink>
      <w:r>
        <w:t xml:space="preserve">.</w:t>
      </w:r>
    </w:p>
    <w:bookmarkEnd w:id="629"/>
    <w:bookmarkStart w:id="630" w:name="ref-fyfe2003spatial"/>
    <w:p>
      <w:pPr>
        <w:pStyle w:val="Bibliography"/>
      </w:pPr>
      <w:r>
        <w:t xml:space="preserve">Fyfe, S., 2003. Spatial and temporal variation in spectral reflectance: Are seagrass species spectrally distinct? Limnology and Oceanography 48, 464–479.</w:t>
      </w:r>
    </w:p>
    <w:bookmarkEnd w:id="630"/>
    <w:bookmarkStart w:id="631" w:name="ref-gacia1999approach"/>
    <w:p>
      <w:pPr>
        <w:pStyle w:val="Bibliography"/>
      </w:pPr>
      <w:r>
        <w:t xml:space="preserve">Gacia, E., Granata, T., Duarte, C., 1999. An approach to measurement of particle flux and sediment retention within seagrass (posidonia oceanica) meadows. Aquatic Botany 65, 255–268.</w:t>
      </w:r>
    </w:p>
    <w:bookmarkEnd w:id="631"/>
    <w:bookmarkStart w:id="632" w:name="ref-gallardo2016global"/>
    <w:p>
      <w:pPr>
        <w:pStyle w:val="Bibliography"/>
      </w:pPr>
      <w:r>
        <w:t xml:space="preserve">Gallardo, B., Clavero, M., Sánchez, M.I., Vilà, M., 2016. Global ecological impacts of invasive species in aquatic ecosystems. Global change biology 22, 151–163.</w:t>
      </w:r>
    </w:p>
    <w:bookmarkEnd w:id="632"/>
    <w:bookmarkStart w:id="633"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633"/>
    <w:bookmarkStart w:id="634"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634"/>
    <w:bookmarkStart w:id="635" w:name="ref-gardner2018global"/>
    <w:p>
      <w:pPr>
        <w:pStyle w:val="Bibliography"/>
      </w:pPr>
      <w:r>
        <w:t xml:space="preserve">Gardner, R.C., Finlayson, C., 2018. Global wetland outlook: State of the world’s wetlands and their services to people, in: Ramsar Convention Secretariat. pp. 2020–5.</w:t>
      </w:r>
    </w:p>
    <w:bookmarkEnd w:id="635"/>
    <w:bookmarkStart w:id="637"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636">
        <w:r>
          <w:rPr>
            <w:rStyle w:val="Hyperlink"/>
          </w:rPr>
          <w:t xml:space="preserve">https://doi.org/10.1016/j.ecss.2021.107320</w:t>
        </w:r>
      </w:hyperlink>
    </w:p>
    <w:bookmarkEnd w:id="637"/>
    <w:bookmarkStart w:id="638"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38"/>
    <w:bookmarkStart w:id="639"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39"/>
    <w:bookmarkStart w:id="640"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40"/>
    <w:bookmarkStart w:id="641" w:name="ref-green2021historical"/>
    <w:p>
      <w:pPr>
        <w:pStyle w:val="Bibliography"/>
      </w:pPr>
      <w:r>
        <w:t xml:space="preserve">Green, A.E., Unsworth, R.K., Chadwick, M.A., Jones, P.J., 2021. Historical analysis exposes catastrophic seagrass loss for the united kingdom. Frontiers in plant science 12, 629962.</w:t>
      </w:r>
    </w:p>
    <w:bookmarkEnd w:id="641"/>
    <w:bookmarkStart w:id="642" w:name="ref-green2021functional"/>
    <w:p>
      <w:pPr>
        <w:pStyle w:val="Bibliography"/>
      </w:pPr>
      <w:r>
        <w:t xml:space="preserve">Green, S.J., Grosholz, E.D., 2021. Functional eradication as a framework for invasive species control. Frontiers in Ecology and the Environment 19, 98–107.</w:t>
      </w:r>
    </w:p>
    <w:bookmarkEnd w:id="642"/>
    <w:bookmarkStart w:id="644" w:name="ref-R-vip"/>
    <w:p>
      <w:pPr>
        <w:pStyle w:val="Bibliography"/>
      </w:pPr>
      <w:r>
        <w:t xml:space="preserve">Greenwell, B.M., Boehmke, B.C., 2020.</w:t>
      </w:r>
      <w:r>
        <w:t xml:space="preserve"> </w:t>
      </w:r>
      <w:hyperlink r:id="rId643">
        <w:r>
          <w:rPr>
            <w:rStyle w:val="Hyperlink"/>
          </w:rPr>
          <w:t xml:space="preserve">Variable importance plots—an introduction to the vip package</w:t>
        </w:r>
      </w:hyperlink>
      <w:r>
        <w:t xml:space="preserve">. The R Journal 12, 343–366.</w:t>
      </w:r>
    </w:p>
    <w:bookmarkEnd w:id="644"/>
    <w:bookmarkStart w:id="645" w:name="ref-grizel1991introduction"/>
    <w:p>
      <w:pPr>
        <w:pStyle w:val="Bibliography"/>
      </w:pPr>
      <w:r>
        <w:t xml:space="preserve">Grizel, H., Heral, M., 1991. Introduction into france of the japanese oyster (crassostrea gigas). ICES Journal of Marine Science 47, 399–403.</w:t>
      </w:r>
    </w:p>
    <w:bookmarkEnd w:id="645"/>
    <w:bookmarkStart w:id="646" w:name="ref-guan2023overview"/>
    <w:p>
      <w:pPr>
        <w:pStyle w:val="Bibliography"/>
      </w:pPr>
      <w:r>
        <w:t xml:space="preserve">Guan, S., Brookens, T., 2023. An overview of research efforts to understand the effects of underwater sound on cetaceans. Water Biology and Security 2, 100141.</w:t>
      </w:r>
    </w:p>
    <w:bookmarkEnd w:id="646"/>
    <w:bookmarkStart w:id="647"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47"/>
    <w:bookmarkStart w:id="648"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48"/>
    <w:bookmarkStart w:id="649" w:name="ref-Guyot1990"/>
    <w:p>
      <w:pPr>
        <w:pStyle w:val="Bibliography"/>
      </w:pPr>
      <w:r>
        <w:t xml:space="preserve">Guyot, G., 1990. Optical properties of vegetation canopies. Optical properties of vegetation canopies. 19–43.</w:t>
      </w:r>
    </w:p>
    <w:bookmarkEnd w:id="649"/>
    <w:bookmarkStart w:id="650" w:name="ref-hagger2022drivers"/>
    <w:p>
      <w:pPr>
        <w:pStyle w:val="Bibliography"/>
      </w:pPr>
      <w:r>
        <w:t xml:space="preserve">Hagger, V., Worthington, T.A., Lovelock, C.E., Adame, M.F., Amano, T., Brown, B.M., Friess, D.A., Landis, E., Mumby, P.J., Morrison, T.H., others, 2022. Drivers of global mangrove loss and gain in social-ecological systems. Nature Communications 13, 6373.</w:t>
      </w:r>
    </w:p>
    <w:bookmarkEnd w:id="650"/>
    <w:bookmarkStart w:id="651"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51"/>
    <w:bookmarkStart w:id="652" w:name="ref-hanley2024victim"/>
    <w:p>
      <w:pPr>
        <w:pStyle w:val="Bibliography"/>
      </w:pPr>
      <w:r>
        <w:t xml:space="preserve">Hanley, M.E., Firth, L.B., Foggo, A., 2024. Victim of changes? Marine macroalgae in a changing world. Annals of Botany 133, 1–16.</w:t>
      </w:r>
    </w:p>
    <w:bookmarkEnd w:id="652"/>
    <w:bookmarkStart w:id="653" w:name="ref-haro2023biointertidal"/>
    <w:p>
      <w:pPr>
        <w:pStyle w:val="Bibliography"/>
      </w:pPr>
      <w:r>
        <w:t xml:space="preserve">Haro, S., Jimenez-Reina, J., Bermejo, R., Morrison, L., 2023. BioIntertidal mapper software: A satellite approach for NDVI-based intertidal habitat mapping. SoftwareX 24, 101520.</w:t>
      </w:r>
    </w:p>
    <w:bookmarkEnd w:id="653"/>
    <w:bookmarkStart w:id="654" w:name="ref-hassan2005ecosystems"/>
    <w:p>
      <w:pPr>
        <w:pStyle w:val="Bibliography"/>
      </w:pPr>
      <w:r>
        <w:t xml:space="preserve">Hassan, R., Scholes, R., Ash, N., 2005. Ecosystems and human well-being: Current state and trends.</w:t>
      </w:r>
    </w:p>
    <w:bookmarkEnd w:id="654"/>
    <w:bookmarkStart w:id="656"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55">
        <w:r>
          <w:rPr>
            <w:rStyle w:val="Hyperlink"/>
          </w:rPr>
          <w:t xml:space="preserve">https://doi.org/10.1002/aqc.4210</w:t>
        </w:r>
      </w:hyperlink>
    </w:p>
    <w:bookmarkEnd w:id="656"/>
    <w:bookmarkStart w:id="658"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57">
        <w:r>
          <w:rPr>
            <w:rStyle w:val="Hyperlink"/>
          </w:rPr>
          <w:t xml:space="preserve">https://doi.org/10.3390/app8122688</w:t>
        </w:r>
      </w:hyperlink>
    </w:p>
    <w:bookmarkEnd w:id="658"/>
    <w:bookmarkStart w:id="660"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59">
        <w:r>
          <w:rPr>
            <w:rStyle w:val="Hyperlink"/>
          </w:rPr>
          <w:t xml:space="preserve">https://doi.org/10.1016/j.rse.2015.05.023</w:t>
        </w:r>
      </w:hyperlink>
    </w:p>
    <w:bookmarkEnd w:id="660"/>
    <w:bookmarkStart w:id="662" w:name="ref-terrapck"/>
    <w:p>
      <w:pPr>
        <w:pStyle w:val="Bibliography"/>
      </w:pPr>
      <w:r>
        <w:t xml:space="preserve">Hijmans, R.J., 2024.</w:t>
      </w:r>
      <w:r>
        <w:t xml:space="preserve"> </w:t>
      </w:r>
      <w:hyperlink r:id="rId661">
        <w:r>
          <w:rPr>
            <w:rStyle w:val="Hyperlink"/>
          </w:rPr>
          <w:t xml:space="preserve">Terra: Spatial data analysis</w:t>
        </w:r>
      </w:hyperlink>
      <w:r>
        <w:t xml:space="preserve">.</w:t>
      </w:r>
    </w:p>
    <w:bookmarkEnd w:id="662"/>
    <w:bookmarkStart w:id="663"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63"/>
    <w:bookmarkStart w:id="664"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64"/>
    <w:bookmarkStart w:id="665" w:name="ref-hobohm2021coastal"/>
    <w:p>
      <w:pPr>
        <w:pStyle w:val="Bibliography"/>
      </w:pPr>
      <w:r>
        <w:t xml:space="preserve">Hobohm, C., Schaminée, J., Rooijen, N. van, 2021. Coastal habitats, shallow seas and inland saline steppes: Ecology, distribution, threats and challenges. Perspectives for biodiversity and ecosystems 279–310.</w:t>
      </w:r>
    </w:p>
    <w:bookmarkEnd w:id="665"/>
    <w:bookmarkStart w:id="666"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66"/>
    <w:bookmarkStart w:id="668"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67">
        <w:r>
          <w:rPr>
            <w:rStyle w:val="Hyperlink"/>
          </w:rPr>
          <w:t xml:space="preserve">https://doi.org/10.1016/j.envpol.2021.117731</w:t>
        </w:r>
      </w:hyperlink>
    </w:p>
    <w:bookmarkEnd w:id="668"/>
    <w:bookmarkStart w:id="669" w:name="ref-howard2018fastai"/>
    <w:p>
      <w:pPr>
        <w:pStyle w:val="Bibliography"/>
      </w:pPr>
      <w:r>
        <w:t xml:space="preserve">Howard, J., others, 2018. Fastai.</w:t>
      </w:r>
    </w:p>
    <w:bookmarkEnd w:id="669"/>
    <w:bookmarkStart w:id="671"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70">
        <w:r>
          <w:rPr>
            <w:rStyle w:val="Hyperlink"/>
          </w:rPr>
          <w:t xml:space="preserve">https://doi.org/10.1016/j.rse.2017.01.037</w:t>
        </w:r>
      </w:hyperlink>
    </w:p>
    <w:bookmarkEnd w:id="671"/>
    <w:bookmarkStart w:id="673"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72">
        <w:r>
          <w:rPr>
            <w:rStyle w:val="Hyperlink"/>
          </w:rPr>
          <w:t xml:space="preserve">https://doi.org/10.1073/pnas.0402642101</w:t>
        </w:r>
      </w:hyperlink>
    </w:p>
    <w:bookmarkEnd w:id="673"/>
    <w:bookmarkStart w:id="675" w:name="ref-ign"/>
    <w:p>
      <w:pPr>
        <w:pStyle w:val="Bibliography"/>
      </w:pPr>
      <w:r>
        <w:t xml:space="preserve">IGN, 2024a.</w:t>
      </w:r>
      <w:r>
        <w:t xml:space="preserve"> </w:t>
      </w:r>
      <w:hyperlink r:id="rId674">
        <w:r>
          <w:rPr>
            <w:rStyle w:val="Hyperlink"/>
          </w:rPr>
          <w:t xml:space="preserve">Institut national de l’information géographique et forestiere (IGN)</w:t>
        </w:r>
      </w:hyperlink>
      <w:r>
        <w:t xml:space="preserve">.</w:t>
      </w:r>
    </w:p>
    <w:bookmarkEnd w:id="675"/>
    <w:bookmarkStart w:id="676" w:name="ref-RemonterLeTempsIGN"/>
    <w:p>
      <w:pPr>
        <w:pStyle w:val="Bibliography"/>
      </w:pPr>
      <w:r>
        <w:t xml:space="preserve">IGN, 2024b. Remonter le temps.</w:t>
      </w:r>
    </w:p>
    <w:bookmarkEnd w:id="676"/>
    <w:bookmarkStart w:id="677"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77"/>
    <w:bookmarkStart w:id="679" w:name="ref-ioc_sea_level_lecy"/>
    <w:p>
      <w:pPr>
        <w:pStyle w:val="Bibliography"/>
      </w:pPr>
      <w:r>
        <w:t xml:space="preserve">IOC, n.d.</w:t>
      </w:r>
      <w:r>
        <w:t xml:space="preserve"> </w:t>
      </w:r>
      <w:hyperlink r:id="rId678">
        <w:r>
          <w:rPr>
            <w:rStyle w:val="Hyperlink"/>
          </w:rPr>
          <w:t xml:space="preserve">Intergovernmental oceanographic commission ; sea level monitoring station - le conquet, france (LECY)</w:t>
        </w:r>
      </w:hyperlink>
      <w:r>
        <w:t xml:space="preserve">.</w:t>
      </w:r>
    </w:p>
    <w:bookmarkEnd w:id="679"/>
    <w:bookmarkStart w:id="680" w:name="ref-ismail2020therapeutic"/>
    <w:p>
      <w:pPr>
        <w:pStyle w:val="Bibliography"/>
      </w:pPr>
      <w:r>
        <w:t xml:space="preserve">Ismail, M.M., Alotaibi, B.S., El-Sheekh, M.M., 2020. Therapeutic uses of red macroalgae. Molecules 25, 4411.</w:t>
      </w:r>
    </w:p>
    <w:bookmarkEnd w:id="680"/>
    <w:bookmarkStart w:id="682" w:name="ref-itopf_statistics"/>
    <w:p>
      <w:pPr>
        <w:pStyle w:val="Bibliography"/>
      </w:pPr>
      <w:r>
        <w:t xml:space="preserve">ITOPF, I.T.O.P.F., 2023.</w:t>
      </w:r>
      <w:r>
        <w:t xml:space="preserve"> </w:t>
      </w:r>
      <w:hyperlink r:id="rId681">
        <w:r>
          <w:rPr>
            <w:rStyle w:val="Hyperlink"/>
          </w:rPr>
          <w:t xml:space="preserve">Statistics - ITOPF</w:t>
        </w:r>
      </w:hyperlink>
      <w:r>
        <w:t xml:space="preserve">.</w:t>
      </w:r>
    </w:p>
    <w:bookmarkEnd w:id="682"/>
    <w:bookmarkStart w:id="683"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83"/>
    <w:bookmarkStart w:id="684"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84"/>
    <w:bookmarkStart w:id="685"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85"/>
    <w:bookmarkStart w:id="686"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86"/>
    <w:bookmarkStart w:id="688"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87">
        <w:r>
          <w:rPr>
            <w:rStyle w:val="Hyperlink"/>
          </w:rPr>
          <w:t xml:space="preserve">https://doi.org/10.1016/S0304-4238(05)80016-0</w:t>
        </w:r>
      </w:hyperlink>
    </w:p>
    <w:bookmarkEnd w:id="688"/>
    <w:bookmarkStart w:id="690"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89">
        <w:r>
          <w:rPr>
            <w:rStyle w:val="Hyperlink"/>
          </w:rPr>
          <w:t xml:space="preserve">https://doi.org/10.1177/0309133309339563</w:t>
        </w:r>
      </w:hyperlink>
    </w:p>
    <w:bookmarkEnd w:id="690"/>
    <w:bookmarkStart w:id="691" w:name="ref-joyce2023"/>
    <w:p>
      <w:pPr>
        <w:pStyle w:val="Bibliography"/>
      </w:pPr>
      <w:r>
        <w:t xml:space="preserve">Joyce, K.E., Fickas, K.C., Kalamandeen, M., 2023. The unique value proposition for using drones to map coastal ecosystems. Cambridge Prisms: Coastal Futures 1, e6.</w:t>
      </w:r>
    </w:p>
    <w:bookmarkEnd w:id="691"/>
    <w:bookmarkStart w:id="692" w:name="ref-karakassis2005contribution"/>
    <w:p>
      <w:pPr>
        <w:pStyle w:val="Bibliography"/>
      </w:pPr>
      <w:r>
        <w:t xml:space="preserve">Karakassis, I., Pitta, P., Krom, M.D., 2005. Contribution of fish farming to the nutrient loading of the mediterranean. Scientia Marina 69, 313–321.</w:t>
      </w:r>
    </w:p>
    <w:bookmarkEnd w:id="692"/>
    <w:bookmarkStart w:id="693" w:name="ref-kattenborn2021review"/>
    <w:p>
      <w:pPr>
        <w:pStyle w:val="Bibliography"/>
      </w:pPr>
      <w:r>
        <w:t xml:space="preserve">Kattenborn, T., Leitloff, J., Schiefer, F., Hinz, S., 2021. Review on convolutional neural networks (CNN) in vegetation remote sensing. ISPRS journal of photogrammetry and remote sensing 173, 24–49.</w:t>
      </w:r>
    </w:p>
    <w:bookmarkEnd w:id="693"/>
    <w:bookmarkStart w:id="694"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94"/>
    <w:bookmarkStart w:id="695" w:name="ref-Kirk1994"/>
    <w:p>
      <w:pPr>
        <w:pStyle w:val="Bibliography"/>
      </w:pPr>
      <w:r>
        <w:t xml:space="preserve">Kirk, J.T., 1994. Light and photosynthesis in aquatic ecosystems. Cambridge university press.</w:t>
      </w:r>
    </w:p>
    <w:bookmarkEnd w:id="695"/>
    <w:bookmarkStart w:id="696" w:name="ref-klemas2012remote"/>
    <w:p>
      <w:pPr>
        <w:pStyle w:val="Bibliography"/>
      </w:pPr>
      <w:r>
        <w:t xml:space="preserve">Klemas, V., 2012. Remote sensing of algal blooms: An overview with case studies. Journal of coastal research 28, 34–43.</w:t>
      </w:r>
    </w:p>
    <w:bookmarkEnd w:id="696"/>
    <w:bookmarkStart w:id="698"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97">
        <w:r>
          <w:rPr>
            <w:rStyle w:val="Hyperlink"/>
          </w:rPr>
          <w:t xml:space="preserve">https://doi.org/10.1016/S0034-4257(70)80021-9</w:t>
        </w:r>
      </w:hyperlink>
    </w:p>
    <w:bookmarkEnd w:id="698"/>
    <w:bookmarkStart w:id="699"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99"/>
    <w:bookmarkStart w:id="700"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700"/>
    <w:bookmarkStart w:id="701"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701"/>
    <w:bookmarkStart w:id="702"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702"/>
    <w:bookmarkStart w:id="704"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703">
        <w:r>
          <w:rPr>
            <w:rStyle w:val="Hyperlink"/>
          </w:rPr>
          <w:t xml:space="preserve">https://doi.org/10.1063/1.44433</w:t>
        </w:r>
      </w:hyperlink>
    </w:p>
    <w:bookmarkEnd w:id="704"/>
    <w:bookmarkStart w:id="706" w:name="ref-R-yardstick"/>
    <w:p>
      <w:pPr>
        <w:pStyle w:val="Bibliography"/>
      </w:pPr>
      <w:r>
        <w:t xml:space="preserve">Kuhn, M., Vaughan, D., Hvitfeldt, E., 2024.</w:t>
      </w:r>
      <w:r>
        <w:t xml:space="preserve"> </w:t>
      </w:r>
      <w:hyperlink r:id="rId705">
        <w:r>
          <w:rPr>
            <w:rStyle w:val="Hyperlink"/>
          </w:rPr>
          <w:t xml:space="preserve">Yardstick: Tidy characterizations of model performance</w:t>
        </w:r>
      </w:hyperlink>
      <w:r>
        <w:t xml:space="preserve">.</w:t>
      </w:r>
    </w:p>
    <w:bookmarkEnd w:id="706"/>
    <w:bookmarkStart w:id="708" w:name="ref-Rtidymodels"/>
    <w:p>
      <w:pPr>
        <w:pStyle w:val="Bibliography"/>
      </w:pPr>
      <w:r>
        <w:t xml:space="preserve">Kuhn, M., Wickham, H., 2020.</w:t>
      </w:r>
      <w:r>
        <w:t xml:space="preserve"> </w:t>
      </w:r>
      <w:hyperlink r:id="rId707">
        <w:r>
          <w:rPr>
            <w:rStyle w:val="Hyperlink"/>
          </w:rPr>
          <w:t xml:space="preserve">Tidymodels: A collection of packages for modeling and machine learning using tidyverse principles.</w:t>
        </w:r>
      </w:hyperlink>
    </w:p>
    <w:bookmarkEnd w:id="708"/>
    <w:bookmarkStart w:id="710"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709">
        <w:r>
          <w:rPr>
            <w:rStyle w:val="Hyperlink"/>
          </w:rPr>
          <w:t xml:space="preserve">https://doi.org/10.1016/j.ecss.2005.12.004</w:t>
        </w:r>
      </w:hyperlink>
    </w:p>
    <w:bookmarkEnd w:id="710"/>
    <w:bookmarkStart w:id="711"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711"/>
    <w:bookmarkStart w:id="712" w:name="ref-lakshmi2021coastal"/>
    <w:p>
      <w:pPr>
        <w:pStyle w:val="Bibliography"/>
      </w:pPr>
      <w:r>
        <w:t xml:space="preserve">Lakshmi, A., 2021. Coastal ecosystem services &amp; human wellbeing. Indian Journal of Medical Research 153, 382–387.</w:t>
      </w:r>
    </w:p>
    <w:bookmarkEnd w:id="712"/>
    <w:bookmarkStart w:id="713"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713"/>
    <w:bookmarkStart w:id="714" w:name="ref-laurent2024intertidal"/>
    <w:p>
      <w:pPr>
        <w:pStyle w:val="Bibliography"/>
      </w:pPr>
      <w:r>
        <w:t xml:space="preserve">Laurent, C., 2024. Intertidal seagrass restoration in the natural marine park of arachon bay. Ecorestoration: RNS Technical Series.</w:t>
      </w:r>
    </w:p>
    <w:bookmarkEnd w:id="714"/>
    <w:bookmarkStart w:id="715"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715"/>
    <w:bookmarkStart w:id="716" w:name="ref-lee2023application"/>
    <w:p>
      <w:pPr>
        <w:pStyle w:val="Bibliography"/>
      </w:pPr>
      <w:r>
        <w:t xml:space="preserve">Lee, J., Jo, H., Oh, J., 2023. Application of drone LiDAR survey for evaluation of a long-term consolidation settlement of large land reclamation. Applied Sciences 13, 8277.</w:t>
      </w:r>
    </w:p>
    <w:bookmarkEnd w:id="716"/>
    <w:bookmarkStart w:id="717"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717"/>
    <w:bookmarkStart w:id="718" w:name="ref-hsdar"/>
    <w:p>
      <w:pPr>
        <w:pStyle w:val="Bibliography"/>
      </w:pPr>
      <w:r>
        <w:t xml:space="preserve">Lehnert, L.W., Meyer, H., Bendix, J., 2017.</w:t>
      </w:r>
    </w:p>
    <w:bookmarkEnd w:id="718"/>
    <w:bookmarkStart w:id="719"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719"/>
    <w:bookmarkStart w:id="720"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720"/>
    <w:bookmarkStart w:id="721"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721"/>
    <w:bookmarkStart w:id="722"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722"/>
    <w:bookmarkStart w:id="723"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723"/>
    <w:bookmarkStart w:id="724" w:name="ref-loarie2009velocity"/>
    <w:p>
      <w:pPr>
        <w:pStyle w:val="Bibliography"/>
      </w:pPr>
      <w:r>
        <w:t xml:space="preserve">Loarie, S.R., Duffy, P.B., Hamilton, H., Asner, G.P., Field, C.B., Ackerly, D.D., 2009. The velocity of climate change. Nature 462, 1052–1055.</w:t>
      </w:r>
    </w:p>
    <w:bookmarkEnd w:id="724"/>
    <w:bookmarkStart w:id="725"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725"/>
    <w:bookmarkStart w:id="726" w:name="ref-de2020seagrass"/>
    <w:p>
      <w:pPr>
        <w:pStyle w:val="Bibliography"/>
      </w:pPr>
      <w:r>
        <w:t xml:space="preserve">Los Santos, C.B. de, Olivé, I., Moreira, M., Silva, A., Freitas, C., Luna, R.A., Quental-Ferreira, H., Martins, M., Costa, M.M., Silva, J., others, 2020. Seagrass meadows improve inflowing water quality in aquaculture ponds. Aquaculture 528, 735502.</w:t>
      </w:r>
    </w:p>
    <w:bookmarkEnd w:id="726"/>
    <w:bookmarkStart w:id="727"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727"/>
    <w:bookmarkStart w:id="728" w:name="ref-louime2017sargassum"/>
    <w:p>
      <w:pPr>
        <w:pStyle w:val="Bibliography"/>
      </w:pPr>
      <w:r>
        <w:t xml:space="preserve">Louime, C., Fortune, J., Gervais, G., 2017. Sargassum invasion of coastal environments: A growing concern. American Journal of Environmental Sciences 13, 58–64.</w:t>
      </w:r>
    </w:p>
    <w:bookmarkEnd w:id="728"/>
    <w:bookmarkStart w:id="729" w:name="ref-lovelock2017mangrove"/>
    <w:p>
      <w:pPr>
        <w:pStyle w:val="Bibliography"/>
      </w:pPr>
      <w:r>
        <w:t xml:space="preserve">Lovelock, C.E., Feller, I.C., Reef, R., Hickey, S., Ball, M.C., 2017. Mangrove dieback during fluctuating sea levels. Scientific Reports 7, 1680.</w:t>
      </w:r>
    </w:p>
    <w:bookmarkEnd w:id="729"/>
    <w:bookmarkStart w:id="730"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730"/>
    <w:bookmarkStart w:id="731"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731"/>
    <w:bookmarkStart w:id="732" w:name="ref-malekmohamadi2020review"/>
    <w:p>
      <w:pPr>
        <w:pStyle w:val="Bibliography"/>
      </w:pPr>
      <w:r>
        <w:t xml:space="preserve">Malekmohamadi Faradonbe, S., Safi-Esfahani, F., Karimian-Kelishadrokhi, M., 2020. A review on neural turing machine (NTM). SN Computer Science 1, 333.</w:t>
      </w:r>
    </w:p>
    <w:bookmarkEnd w:id="732"/>
    <w:bookmarkStart w:id="734" w:name="ref-malvern_panalytical_rs3"/>
    <w:p>
      <w:pPr>
        <w:pStyle w:val="Bibliography"/>
      </w:pPr>
      <w:r>
        <w:t xml:space="preserve">Malvern Panalytical, 2023.</w:t>
      </w:r>
      <w:r>
        <w:t xml:space="preserve"> </w:t>
      </w:r>
      <w:hyperlink r:id="rId733">
        <w:r>
          <w:rPr>
            <w:rStyle w:val="Hyperlink"/>
          </w:rPr>
          <w:t xml:space="preserve">RS3 software</w:t>
        </w:r>
      </w:hyperlink>
      <w:r>
        <w:t xml:space="preserve">.</w:t>
      </w:r>
    </w:p>
    <w:bookmarkEnd w:id="734"/>
    <w:bookmarkStart w:id="735"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735"/>
    <w:bookmarkStart w:id="736" w:name="ref-marba2010mediterranean"/>
    <w:p>
      <w:pPr>
        <w:pStyle w:val="Bibliography"/>
      </w:pPr>
      <w:r>
        <w:t xml:space="preserve">Marbà, N., Duarte, C.M., 2010. Mediterranean warming triggers seagrass (posidonia oceanica) shoot mortality. Global change biology 16, 2366–2375.</w:t>
      </w:r>
    </w:p>
    <w:bookmarkEnd w:id="736"/>
    <w:bookmarkStart w:id="737"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737"/>
    <w:bookmarkStart w:id="738"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738"/>
    <w:bookmarkStart w:id="739" w:name="ref-martinez2007coasts"/>
    <w:p>
      <w:pPr>
        <w:pStyle w:val="Bibliography"/>
      </w:pPr>
      <w:r>
        <w:t xml:space="preserve">Martı́nez, M.L., Intralawan, A., Vázquez, G., Pérez-Maqueo, O., Sutton, P., Landgrave, R., 2007. The coasts of our world: Ecological, economic and social importance. Ecological economics 63, 254–272.</w:t>
      </w:r>
    </w:p>
    <w:bookmarkEnd w:id="739"/>
    <w:bookmarkStart w:id="740"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740"/>
    <w:bookmarkStart w:id="742"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741">
        <w:r>
          <w:rPr>
            <w:rStyle w:val="Hyperlink"/>
          </w:rPr>
          <w:t xml:space="preserve">https://doi.org/10.3390/d15020161</w:t>
        </w:r>
      </w:hyperlink>
    </w:p>
    <w:bookmarkEnd w:id="742"/>
    <w:bookmarkStart w:id="743"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743"/>
    <w:bookmarkStart w:id="745"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744">
        <w:r>
          <w:rPr>
            <w:rStyle w:val="Hyperlink"/>
          </w:rPr>
          <w:t xml:space="preserve">https://doi.org/10.1038/s41598-019-50643-w</w:t>
        </w:r>
      </w:hyperlink>
    </w:p>
    <w:bookmarkEnd w:id="745"/>
    <w:bookmarkStart w:id="746" w:name="ref-mcculloch1943logical"/>
    <w:p>
      <w:pPr>
        <w:pStyle w:val="Bibliography"/>
      </w:pPr>
      <w:r>
        <w:t xml:space="preserve">McCulloch, W.S., Pitts, W., 1943. A logical calculus of the ideas immanent in nervous activity. The bulletin of mathematical biophysics 5, 115–133.</w:t>
      </w:r>
    </w:p>
    <w:bookmarkEnd w:id="746"/>
    <w:bookmarkStart w:id="748"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47">
        <w:r>
          <w:rPr>
            <w:rStyle w:val="Hyperlink"/>
          </w:rPr>
          <w:t xml:space="preserve">https://doi.org/10.3390/rs11060704</w:t>
        </w:r>
      </w:hyperlink>
    </w:p>
    <w:bookmarkEnd w:id="748"/>
    <w:bookmarkStart w:id="749" w:name="ref-mckenzie2020global"/>
    <w:p>
      <w:pPr>
        <w:pStyle w:val="Bibliography"/>
      </w:pPr>
      <w:r>
        <w:t xml:space="preserve">McKenzie, L.J., Nordlund, L.M., Jones, B.L., Cullen-Unsworth, L.C., Roelfsema, C., Unsworth, R.K., 2020. The global distribution of seagrass meadows. Environmental Research Letters 15, 074041.</w:t>
      </w:r>
    </w:p>
    <w:bookmarkEnd w:id="749"/>
    <w:bookmarkStart w:id="750" w:name="ref-mcroy1977production"/>
    <w:p>
      <w:pPr>
        <w:pStyle w:val="Bibliography"/>
      </w:pPr>
      <w:r>
        <w:t xml:space="preserve">McRoy, C.P., McMillan, C., 1977. Production ecology and physiology of seagrasses.</w:t>
      </w:r>
    </w:p>
    <w:bookmarkEnd w:id="750"/>
    <w:bookmarkStart w:id="751"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51"/>
    <w:bookmarkStart w:id="752"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52"/>
    <w:bookmarkStart w:id="753" w:name="ref-meleder2018microphytobenthos"/>
    <w:p>
      <w:pPr>
        <w:pStyle w:val="Bibliography"/>
      </w:pPr>
      <w:r>
        <w:t xml:space="preserve">Méléder, V., Jesus, B., Barnett, A., Barillé, L., Lavaud, J., 2018. Microphytobenthos primary production estimated by hyperspectral reflectance. PloS one 13, e0197093.</w:t>
      </w:r>
    </w:p>
    <w:bookmarkEnd w:id="753"/>
    <w:bookmarkStart w:id="754"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54"/>
    <w:bookmarkStart w:id="756"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55">
        <w:r>
          <w:rPr>
            <w:rStyle w:val="Hyperlink"/>
          </w:rPr>
          <w:t xml:space="preserve">https://doi.org/10.1016/j.jphotobiol.2013.10.005</w:t>
        </w:r>
      </w:hyperlink>
    </w:p>
    <w:bookmarkEnd w:id="756"/>
    <w:bookmarkStart w:id="758"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57">
        <w:r>
          <w:rPr>
            <w:rStyle w:val="Hyperlink"/>
          </w:rPr>
          <w:t xml:space="preserve">https://doi.org/10.3390/jmse11020367</w:t>
        </w:r>
      </w:hyperlink>
    </w:p>
    <w:bookmarkEnd w:id="758"/>
    <w:bookmarkStart w:id="759"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59"/>
    <w:bookmarkStart w:id="761"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60">
        <w:r>
          <w:rPr>
            <w:rStyle w:val="Hyperlink"/>
          </w:rPr>
          <w:t xml:space="preserve">https://doi.org/10.1080/17445647.2021.1925170</w:t>
        </w:r>
      </w:hyperlink>
    </w:p>
    <w:bookmarkEnd w:id="761"/>
    <w:bookmarkStart w:id="762" w:name="ref-mienye2024recurrent"/>
    <w:p>
      <w:pPr>
        <w:pStyle w:val="Bibliography"/>
      </w:pPr>
      <w:r>
        <w:t xml:space="preserve">Mienye, I.D., Swart, T.G., Obaido, G., 2024. Recurrent neural networks: A comprehensive review of architectures, variants, and applications. Information 15, 517.</w:t>
      </w:r>
    </w:p>
    <w:bookmarkEnd w:id="762"/>
    <w:bookmarkStart w:id="763"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63"/>
    <w:bookmarkStart w:id="765"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64">
        <w:r>
          <w:rPr>
            <w:rStyle w:val="Hyperlink"/>
          </w:rPr>
          <w:t xml:space="preserve">https://doi.org/10.1111/GCB.14108</w:t>
        </w:r>
      </w:hyperlink>
    </w:p>
    <w:bookmarkEnd w:id="765"/>
    <w:bookmarkStart w:id="766"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66"/>
    <w:bookmarkStart w:id="768"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67">
        <w:r>
          <w:rPr>
            <w:rStyle w:val="Hyperlink"/>
          </w:rPr>
          <w:t xml:space="preserve">https://doi.org/10.1038/s41598-021-83597-z</w:t>
        </w:r>
      </w:hyperlink>
    </w:p>
    <w:bookmarkEnd w:id="768"/>
    <w:bookmarkStart w:id="769"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69"/>
    <w:bookmarkStart w:id="770" w:name="ref-moreira2022underexplored"/>
    <w:p>
      <w:pPr>
        <w:pStyle w:val="Bibliography"/>
      </w:pPr>
      <w:r>
        <w:t xml:space="preserve">Moreira, A., Cruz, S., Marques, R., Cartaxana, P., 2022. The underexplored potential of green macroalgae in aquaculture. Reviews in Aquaculture 14, 5–26.</w:t>
      </w:r>
    </w:p>
    <w:bookmarkEnd w:id="770"/>
    <w:bookmarkStart w:id="772"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71">
        <w:r>
          <w:rPr>
            <w:rStyle w:val="Hyperlink"/>
          </w:rPr>
          <w:t xml:space="preserve">https://doi.org/10.1017/s0031182002001476</w:t>
        </w:r>
      </w:hyperlink>
    </w:p>
    <w:bookmarkEnd w:id="772"/>
    <w:bookmarkStart w:id="773"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73"/>
    <w:bookmarkStart w:id="774"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74"/>
    <w:bookmarkStart w:id="775" w:name="ref-mukhopadhyay2012coastal"/>
    <w:p>
      <w:pPr>
        <w:pStyle w:val="Bibliography"/>
      </w:pPr>
      <w:r>
        <w:t xml:space="preserve">Mukhopadhyay, A., Dasgupta, R., Hazra, S., Mitra, D., 2012. Coastal hazards and vulnerability: A review. International journal of geology, earth and environmental sciences 2, 57–69.</w:t>
      </w:r>
    </w:p>
    <w:bookmarkEnd w:id="775"/>
    <w:bookmarkStart w:id="776" w:name="ref-muller2024site"/>
    <w:p>
      <w:pPr>
        <w:pStyle w:val="Bibliography"/>
      </w:pPr>
      <w:r>
        <w:t xml:space="preserve">Muller, H., Auclair, E., Woehrel, A., Ganthy, F., Tandeo, P., Wu, P.P.-Y., Chercham, C., Marzloff, M.P., 2024. Site-level and spatially-explicit modelling provides some insights on key factors driving seasonal dynamics of an intertidal seagrass. Ecological Modelling 495, 110802.</w:t>
      </w:r>
    </w:p>
    <w:bookmarkEnd w:id="776"/>
    <w:bookmarkStart w:id="778"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77">
        <w:r>
          <w:rPr>
            <w:rStyle w:val="Hyperlink"/>
          </w:rPr>
          <w:t xml:space="preserve">https://doi.org/10.1002/eap.1682</w:t>
        </w:r>
      </w:hyperlink>
    </w:p>
    <w:bookmarkEnd w:id="778"/>
    <w:bookmarkStart w:id="779" w:name="ref-murray2018role"/>
    <w:p>
      <w:pPr>
        <w:pStyle w:val="Bibliography"/>
      </w:pPr>
      <w:r>
        <w:t xml:space="preserve">Murray, N.J., Keith, D.A., Bland, L.M., Ferrari, R., Lyons, M.B., Lucas, R., Pettorelli, N., Nicholson, E., 2018. The role of satellite remote sensing in structured ecosystem risk assessments. Science of the Total Environment 619, 249–257.</w:t>
      </w:r>
    </w:p>
    <w:bookmarkEnd w:id="779"/>
    <w:bookmarkStart w:id="780" w:name="ref-murray2015tidal"/>
    <w:p>
      <w:pPr>
        <w:pStyle w:val="Bibliography"/>
      </w:pPr>
      <w:r>
        <w:t xml:space="preserve">Murray, N.J., Ma, Z., Fuller, R.A., 2015. Tidal flats of the y ellow s ea: A review of ecosystem status and anthropogenic threats. Austral Ecology 40, 472–481.</w:t>
      </w:r>
    </w:p>
    <w:bookmarkEnd w:id="780"/>
    <w:bookmarkStart w:id="782"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81">
        <w:r>
          <w:rPr>
            <w:rStyle w:val="Hyperlink"/>
          </w:rPr>
          <w:t xml:space="preserve">https://doi.org/10.1038/s41586-018-0805-8</w:t>
        </w:r>
      </w:hyperlink>
    </w:p>
    <w:bookmarkEnd w:id="782"/>
    <w:bookmarkStart w:id="783"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83"/>
    <w:bookmarkStart w:id="784" w:name="ref-nguyen2021"/>
    <w:p>
      <w:pPr>
        <w:pStyle w:val="Bibliography"/>
      </w:pPr>
      <w:r>
        <w:t xml:space="preserve">Nguyen, H.M., Ralph, P.J., Marı́n-Guirao, L., Pernice, M., Procaccini, G., 2021. Seagrasses in an era of ocean warming: A review. Biological Reviews 96, 2009–2030.</w:t>
      </w:r>
    </w:p>
    <w:bookmarkEnd w:id="784"/>
    <w:bookmarkStart w:id="785"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85"/>
    <w:bookmarkStart w:id="786"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86"/>
    <w:bookmarkStart w:id="787" w:name="ref-nixon1981remineralization"/>
    <w:p>
      <w:pPr>
        <w:pStyle w:val="Bibliography"/>
      </w:pPr>
      <w:r>
        <w:t xml:space="preserve">Nixon, S.W., 1981. Remineralization and nutrient cycling in coastal marine ecosystems, in: Estuaries and Nutrients. Springer, pp. 111–138.</w:t>
      </w:r>
    </w:p>
    <w:bookmarkEnd w:id="787"/>
    <w:bookmarkStart w:id="788"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88"/>
    <w:bookmarkStart w:id="789" w:name="ref-nowacek2007responses"/>
    <w:p>
      <w:pPr>
        <w:pStyle w:val="Bibliography"/>
      </w:pPr>
      <w:r>
        <w:t xml:space="preserve">Nowacek, D.P., Thorne, L.H., Johnston, D.W., Tyack, P.L., 2007. Responses of cetaceans to anthropogenic noise. Mammal Review 37, 81–115.</w:t>
      </w:r>
    </w:p>
    <w:bookmarkEnd w:id="789"/>
    <w:bookmarkStart w:id="790" w:name="ref-n1999primary"/>
    <w:p>
      <w:pPr>
        <w:pStyle w:val="Bibliography"/>
      </w:pPr>
      <w:r>
        <w:t xml:space="preserve">N-Uptake, A., 1999. Primary production by phytoplankton and microphytobenthos in estuaries. Estuaries 29, 93.</w:t>
      </w:r>
    </w:p>
    <w:bookmarkEnd w:id="790"/>
    <w:bookmarkStart w:id="791"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91"/>
    <w:bookmarkStart w:id="792" w:name="ref-nyberg2007introduced"/>
    <w:p>
      <w:pPr>
        <w:pStyle w:val="Bibliography"/>
      </w:pPr>
      <w:r>
        <w:t xml:space="preserve">Nyberg, C.D., 2007. Introduced marine macroalgae and habitat modifiers: Their ecological role and significant attributes. Department of Marine Ecology.</w:t>
      </w:r>
    </w:p>
    <w:bookmarkEnd w:id="792"/>
    <w:bookmarkStart w:id="793" w:name="ref-nyberg2009flora"/>
    <w:p>
      <w:pPr>
        <w:pStyle w:val="Bibliography"/>
      </w:pPr>
      <w:r>
        <w:t xml:space="preserve">Nyberg, C.D., Thomsen, M.S., Wallentinus, I., 2009. Flora and fauna associated with the introduced red alga gracilaria vermiculophylla. European Journal of Phycology 44, 395–403.</w:t>
      </w:r>
    </w:p>
    <w:bookmarkEnd w:id="793"/>
    <w:bookmarkStart w:id="794"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94"/>
    <w:bookmarkStart w:id="795" w:name="ref-oh2017use"/>
    <w:p>
      <w:pPr>
        <w:pStyle w:val="Bibliography"/>
      </w:pPr>
      <w:r>
        <w:t xml:space="preserve">Oh, J., Kim, D., Lee, H., 2017. Use of a drone for mapping and time series image acquisition of tidal zones. Journal of the Korean Institute of Intelligent Systems 27, 119–125.</w:t>
      </w:r>
    </w:p>
    <w:bookmarkEnd w:id="795"/>
    <w:bookmarkStart w:id="796"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96"/>
    <w:bookmarkStart w:id="798" w:name="ref-Simon2024ShinyApp"/>
    <w:p>
      <w:pPr>
        <w:pStyle w:val="Bibliography"/>
      </w:pPr>
      <w:r>
        <w:t xml:space="preserve">Oiry, S., 2024.</w:t>
      </w:r>
      <w:r>
        <w:t xml:space="preserve"> </w:t>
      </w:r>
      <w:hyperlink r:id="rId797">
        <w:r>
          <w:rPr>
            <w:rStyle w:val="Hyperlink"/>
          </w:rPr>
          <w:t xml:space="preserve">Shiny app for validation dataset building</w:t>
        </w:r>
      </w:hyperlink>
      <w:r>
        <w:t xml:space="preserve">.</w:t>
      </w:r>
    </w:p>
    <w:bookmarkEnd w:id="798"/>
    <w:bookmarkStart w:id="799" w:name="ref-oiry2021using"/>
    <w:p>
      <w:pPr>
        <w:pStyle w:val="Bibliography"/>
      </w:pPr>
      <w:r>
        <w:t xml:space="preserve">Oiry, S., Barillé, L., 2021. Using sentinel-2 satellite imagery to develop microphytobenthos-based water quality indices in estuaries. Ecological Indicators 121, 107184.</w:t>
      </w:r>
    </w:p>
    <w:bookmarkEnd w:id="799"/>
    <w:bookmarkStart w:id="801"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800">
        <w:r>
          <w:rPr>
            <w:rStyle w:val="Hyperlink"/>
          </w:rPr>
          <w:t xml:space="preserve">https://doi.org/10.3390/rs16234383</w:t>
        </w:r>
      </w:hyperlink>
    </w:p>
    <w:bookmarkEnd w:id="801"/>
    <w:bookmarkStart w:id="803"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802">
        <w:r>
          <w:rPr>
            <w:rStyle w:val="Hyperlink"/>
          </w:rPr>
          <w:t xml:space="preserve">Vegan: Community ecology package</w:t>
        </w:r>
      </w:hyperlink>
      <w:r>
        <w:t xml:space="preserve">.</w:t>
      </w:r>
    </w:p>
    <w:bookmarkEnd w:id="803"/>
    <w:bookmarkStart w:id="805"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804">
        <w:r>
          <w:rPr>
            <w:rStyle w:val="Hyperlink"/>
          </w:rPr>
          <w:t xml:space="preserve">https://doi.org/10.3389/fmars.2019.00734</w:t>
        </w:r>
      </w:hyperlink>
    </w:p>
    <w:bookmarkEnd w:id="805"/>
    <w:bookmarkStart w:id="806"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806"/>
    <w:bookmarkStart w:id="807"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807"/>
    <w:bookmarkStart w:id="808"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808"/>
    <w:bookmarkStart w:id="809" w:name="ref-otrachshenko2017fishing"/>
    <w:p>
      <w:pPr>
        <w:pStyle w:val="Bibliography"/>
      </w:pPr>
      <w:r>
        <w:t xml:space="preserve">Otrachshenko, V., Bosello, F., 2017. Fishing for answers? Impacts of marine ecosystem quality on coastal tourism demand. Tourism Economics 23, 963–980.</w:t>
      </w:r>
    </w:p>
    <w:bookmarkEnd w:id="809"/>
    <w:bookmarkStart w:id="811"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810">
        <w:r>
          <w:rPr>
            <w:rStyle w:val="Hyperlink"/>
          </w:rPr>
          <w:t xml:space="preserve">https://doi.org/10.1111/gcb.14282</w:t>
        </w:r>
      </w:hyperlink>
    </w:p>
    <w:bookmarkEnd w:id="811"/>
    <w:bookmarkStart w:id="812"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812"/>
    <w:bookmarkStart w:id="814"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813">
        <w:r>
          <w:rPr>
            <w:rStyle w:val="Hyperlink"/>
          </w:rPr>
          <w:t xml:space="preserve">https://doi.org/10.5281/zenodo.3463051</w:t>
        </w:r>
      </w:hyperlink>
    </w:p>
    <w:bookmarkEnd w:id="814"/>
    <w:bookmarkStart w:id="816" w:name="ref-WoRMS303450"/>
    <w:p>
      <w:pPr>
        <w:pStyle w:val="Bibliography"/>
      </w:pPr>
      <w:r>
        <w:t xml:space="preserve">Papenfuss, G.F., 1967.</w:t>
      </w:r>
      <w:r>
        <w:t xml:space="preserve"> </w:t>
      </w:r>
      <w:hyperlink r:id="rId815">
        <w:r>
          <w:rPr>
            <w:rStyle w:val="Hyperlink"/>
          </w:rPr>
          <w:t xml:space="preserve">Notes on algal nomenclature - v. Various chlorophyceae and rhodophyceae</w:t>
        </w:r>
      </w:hyperlink>
      <w:r>
        <w:t xml:space="preserve">. Phykos 5, 95–105.</w:t>
      </w:r>
    </w:p>
    <w:bookmarkEnd w:id="816"/>
    <w:bookmarkStart w:id="817"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817"/>
    <w:bookmarkStart w:id="818"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818"/>
    <w:bookmarkStart w:id="819"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819"/>
    <w:bookmarkStart w:id="820"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820"/>
    <w:bookmarkStart w:id="821"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821"/>
    <w:bookmarkStart w:id="822"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822"/>
    <w:bookmarkStart w:id="823"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823"/>
    <w:bookmarkStart w:id="824" w:name="ref-perkins2013measurement"/>
    <w:p>
      <w:pPr>
        <w:pStyle w:val="Bibliography"/>
      </w:pPr>
      <w:r>
        <w:t xml:space="preserve">Perkins, S.E., Alexander, L.V., 2013. On the measurement of heat waves. Journal of climate 26, 4500–4517.</w:t>
      </w:r>
    </w:p>
    <w:bookmarkEnd w:id="824"/>
    <w:bookmarkStart w:id="825"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825"/>
    <w:bookmarkStart w:id="826"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826"/>
    <w:bookmarkStart w:id="827" w:name="ref-pitts1943linear"/>
    <w:p>
      <w:pPr>
        <w:pStyle w:val="Bibliography"/>
      </w:pPr>
      <w:r>
        <w:t xml:space="preserve">Pitts, W., 1943. The linear theory of neuron networks: The dynamic problem. The bulletin of mathematical biophysics 5, 23–31.</w:t>
      </w:r>
    </w:p>
    <w:bookmarkEnd w:id="827"/>
    <w:bookmarkStart w:id="829" w:name="ref-QGIS_software"/>
    <w:p>
      <w:pPr>
        <w:pStyle w:val="Bibliography"/>
      </w:pPr>
      <w:r>
        <w:t xml:space="preserve">QGIS Development Team, 2024.</w:t>
      </w:r>
      <w:r>
        <w:t xml:space="preserve"> </w:t>
      </w:r>
      <w:hyperlink r:id="rId828">
        <w:r>
          <w:rPr>
            <w:rStyle w:val="Hyperlink"/>
          </w:rPr>
          <w:t xml:space="preserve">QGIS geographic information system</w:t>
        </w:r>
      </w:hyperlink>
      <w:r>
        <w:t xml:space="preserve">. QGIS Association.</w:t>
      </w:r>
    </w:p>
    <w:bookmarkEnd w:id="829"/>
    <w:bookmarkStart w:id="831" w:name="ref-Rbase"/>
    <w:p>
      <w:pPr>
        <w:pStyle w:val="Bibliography"/>
      </w:pPr>
      <w:r>
        <w:t xml:space="preserve">R Core Team, 2023.</w:t>
      </w:r>
      <w:r>
        <w:t xml:space="preserve"> </w:t>
      </w:r>
      <w:hyperlink r:id="rId830">
        <w:r>
          <w:rPr>
            <w:rStyle w:val="Hyperlink"/>
          </w:rPr>
          <w:t xml:space="preserve">R: A language and environment for statistical computing</w:t>
        </w:r>
      </w:hyperlink>
      <w:r>
        <w:t xml:space="preserve">. R Foundation for Statistical Computing, Vienna, Austria.</w:t>
      </w:r>
    </w:p>
    <w:bookmarkEnd w:id="831"/>
    <w:bookmarkStart w:id="832" w:name="ref-raikar2001effect"/>
    <w:p>
      <w:pPr>
        <w:pStyle w:val="Bibliography"/>
      </w:pPr>
      <w:r>
        <w:t xml:space="preserve">Raikar, S., Iima, M., Fujita, Y., 2001. Effect of temperature, salinity and light intensity on the growth of gracilaria spp.(gracilariales, rhodophyta) from japan, malaysia and india.</w:t>
      </w:r>
    </w:p>
    <w:bookmarkEnd w:id="832"/>
    <w:bookmarkStart w:id="833"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833"/>
    <w:bookmarkStart w:id="834" w:name="ref-ramesh2020seagrass"/>
    <w:p>
      <w:pPr>
        <w:pStyle w:val="Bibliography"/>
      </w:pPr>
      <w:r>
        <w:t xml:space="preserve">Ramesh, C., Mohanraju, R., 2020. Seagrass ecosystems of andaman and nicobar islands: Status and future perspective. Environmental &amp; Earth Sciences Research Journal 7.</w:t>
      </w:r>
    </w:p>
    <w:bookmarkEnd w:id="834"/>
    <w:bookmarkStart w:id="835"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835"/>
    <w:bookmarkStart w:id="836" w:name="ref-ranjan2023destructive"/>
    <w:p>
      <w:pPr>
        <w:pStyle w:val="Bibliography"/>
      </w:pPr>
      <w:r>
        <w:t xml:space="preserve">Ranjan, D., Verma, P., Kshatri, A.S., Patel, A., Gupta, V., Chaudhary, V., Yadav, B., 2023. Destructive fishing practices and their impacts on fisheries. Latest trends in Fisheries and Aquatic Animal Health 3.</w:t>
      </w:r>
    </w:p>
    <w:bookmarkEnd w:id="836"/>
    <w:bookmarkStart w:id="837" w:name="ref-rasheed2011long"/>
    <w:p>
      <w:pPr>
        <w:pStyle w:val="Bibliography"/>
      </w:pPr>
      <w:r>
        <w:t xml:space="preserve">Rasheed, M.A., Unsworth, R.K., 2011. Long-term climate-associated dynamics of a tropical seagrass meadow: Implications for the future. Marine Ecology Progress Series 422, 93–103.</w:t>
      </w:r>
    </w:p>
    <w:bookmarkEnd w:id="837"/>
    <w:bookmarkStart w:id="838"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838"/>
    <w:bookmarkStart w:id="839"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839"/>
    <w:bookmarkStart w:id="840" w:name="ref-reeves2014distribution"/>
    <w:p>
      <w:pPr>
        <w:pStyle w:val="Bibliography"/>
      </w:pPr>
      <w:r>
        <w:t xml:space="preserve">Reeves, R.R., Ewins, P.J., Agbayani, S., Heide-Jørgensen, M.P., Kovacs, K.M., Lydersen, C., Suydam, R., Elliott, W., Polet, G., Dijk, Y. van, others, 2014. Distribution of endemic cetaceans in relation to hydrocarbon development and commercial shipping in a warming arctic. Marine Policy 44, 375–389.</w:t>
      </w:r>
    </w:p>
    <w:bookmarkEnd w:id="840"/>
    <w:bookmarkStart w:id="841" w:name="ref-reimann2023population"/>
    <w:p>
      <w:pPr>
        <w:pStyle w:val="Bibliography"/>
      </w:pPr>
      <w:r>
        <w:t xml:space="preserve">Reimann, L., Vafeidis, A.T., Honsel, L.E., 2023. Population development as a driver of coastal risk: Current trends and future pathways. Cambridge Prisms: Coastal Futures 1, e14.</w:t>
      </w:r>
    </w:p>
    <w:bookmarkEnd w:id="841"/>
    <w:bookmarkStart w:id="842"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842"/>
    <w:bookmarkStart w:id="844"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843">
        <w:r>
          <w:rPr>
            <w:rStyle w:val="Hyperlink"/>
          </w:rPr>
          <w:t xml:space="preserve">https://doi.org/10.1073/pnas.0500008102</w:t>
        </w:r>
      </w:hyperlink>
    </w:p>
    <w:bookmarkEnd w:id="844"/>
    <w:bookmarkStart w:id="846" w:name="ref-reuters_aquafarming_2024"/>
    <w:p>
      <w:pPr>
        <w:pStyle w:val="Bibliography"/>
      </w:pPr>
      <w:r>
        <w:t xml:space="preserve">Reuters, 2024. Aquafarming becomes main global source of fish,</w:t>
      </w:r>
      <w:r>
        <w:t xml:space="preserve"> </w:t>
      </w:r>
      <w:r>
        <w:t xml:space="preserve">UN</w:t>
      </w:r>
      <w:r>
        <w:t xml:space="preserve"> </w:t>
      </w:r>
      <w:r>
        <w:t xml:space="preserve">food agency says [WWW Document]. URL</w:t>
      </w:r>
      <w:r>
        <w:t xml:space="preserve"> </w:t>
      </w:r>
      <w:hyperlink r:id="rId845">
        <w:r>
          <w:rPr>
            <w:rStyle w:val="Hyperlink"/>
          </w:rPr>
          <w:t xml:space="preserve">https://www.reuters.com/business/environment/aquafarming-becomes-main-global-source-fish-un-food-agency-says-2024-06-07/</w:t>
        </w:r>
      </w:hyperlink>
    </w:p>
    <w:bookmarkEnd w:id="846"/>
    <w:bookmarkStart w:id="847"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847"/>
    <w:bookmarkStart w:id="848" w:name="ref-rodrigues2023ecological"/>
    <w:p>
      <w:pPr>
        <w:pStyle w:val="Bibliography"/>
      </w:pPr>
      <w:r>
        <w:t xml:space="preserve">Rodrigues-Filho, J.L., Macêdo, R.L., Sarmento, H., Pimenta, V.R., Alonso, C., Teixeira, C.R., Pagliosa, P.R., Netto, S.A., Santos, N.C., Daura-Jorge, F.G., others, 2023. From ecological functions to ecosystem services: Linking coastal lagoons biodiversity with human well-being. Hydrobiologia 850, 2611–2653.</w:t>
      </w:r>
    </w:p>
    <w:bookmarkEnd w:id="848"/>
    <w:bookmarkStart w:id="849"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849"/>
    <w:bookmarkStart w:id="850"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850"/>
    <w:bookmarkStart w:id="851" w:name="ref-roman2021using"/>
    <w:p>
      <w:pPr>
        <w:pStyle w:val="Bibliography"/>
      </w:pPr>
      <w:r>
        <w:t xml:space="preserve">Román, A., Tovar-Sánchez, A., Olivé, I., Navarro, G., 2021. Using a UAV-mounted multispectral camera for the monitoring of marine macrophytes. Frontiers in Marine Science 8, 722698.</w:t>
      </w:r>
    </w:p>
    <w:bookmarkEnd w:id="851"/>
    <w:bookmarkStart w:id="852" w:name="ref-romero2008sintering"/>
    <w:p>
      <w:pPr>
        <w:pStyle w:val="Bibliography"/>
      </w:pPr>
      <w:r>
        <w:t xml:space="preserve">Romero, M., Andrés, A., Alonso, R., Viguri, J., Rincón, J.M., 2008. Sintering behaviour of ceramic bodies from contaminated marine sediments. Ceramics International 34, 1917–1924.</w:t>
      </w:r>
    </w:p>
    <w:bookmarkEnd w:id="852"/>
    <w:bookmarkStart w:id="853" w:name="ref-rossiter2020uav"/>
    <w:p>
      <w:pPr>
        <w:pStyle w:val="Bibliography"/>
      </w:pPr>
      <w:r>
        <w:t xml:space="preserve">Rossiter, T., Furey, T., McCarthy, T., Stengel, D.B., 2020. UAV-mounted hyperspectral mapping of intertidal macroalgae. Estuarine, Coastal and Shelf Science 242, 106789.</w:t>
      </w:r>
    </w:p>
    <w:bookmarkEnd w:id="853"/>
    <w:bookmarkStart w:id="854" w:name="ref-rouse1974monitoring"/>
    <w:p>
      <w:pPr>
        <w:pStyle w:val="Bibliography"/>
      </w:pPr>
      <w:r>
        <w:t xml:space="preserve">Rouse, J.W., Haas, R.H., Schell, J.A., Deering, D.W., others, 1974. Monitoring vegetation systems in the great plains with ERTS. NASA Spec. Publ 351, 309.</w:t>
      </w:r>
    </w:p>
    <w:bookmarkEnd w:id="854"/>
    <w:bookmarkStart w:id="855" w:name="ref-rueness2005life"/>
    <w:p>
      <w:pPr>
        <w:pStyle w:val="Bibliography"/>
      </w:pPr>
      <w:r>
        <w:t xml:space="preserve">Rueness, J., 2005. Life history and molecular sequences of gracilaria vermiculophylla (gracilariales, rhodophyta), a new introduction to european waters. Phycologia 44, 120–128.</w:t>
      </w:r>
    </w:p>
    <w:bookmarkEnd w:id="855"/>
    <w:bookmarkStart w:id="857"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856">
        <w:r>
          <w:rPr>
            <w:rStyle w:val="Hyperlink"/>
          </w:rPr>
          <w:t xml:space="preserve">https://doi.org/10.1029/2023GL103540</w:t>
        </w:r>
      </w:hyperlink>
    </w:p>
    <w:bookmarkEnd w:id="857"/>
    <w:bookmarkStart w:id="858"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858"/>
    <w:bookmarkStart w:id="859" w:name="ref-Sage2020"/>
    <w:p>
      <w:pPr>
        <w:pStyle w:val="Bibliography"/>
      </w:pPr>
      <w:r>
        <w:t xml:space="preserve">Sage, R.F., 2020. Global change biology: A primer. Global Change Biology 26, 3–30.</w:t>
      </w:r>
    </w:p>
    <w:bookmarkEnd w:id="859"/>
    <w:bookmarkStart w:id="860"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860"/>
    <w:bookmarkStart w:id="861"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861"/>
    <w:bookmarkStart w:id="862"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862"/>
    <w:bookmarkStart w:id="863" w:name="ref-sarker2021machine"/>
    <w:p>
      <w:pPr>
        <w:pStyle w:val="Bibliography"/>
      </w:pPr>
      <w:r>
        <w:t xml:space="preserve">Sarker, I.H., 2021. Machine learning: Algorithms, real-world applications and research directions. SN computer science 2, 160.</w:t>
      </w:r>
    </w:p>
    <w:bookmarkEnd w:id="863"/>
    <w:bookmarkStart w:id="864"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64"/>
    <w:bookmarkStart w:id="865" w:name="ref-savitzky1964smoothing"/>
    <w:p>
      <w:pPr>
        <w:pStyle w:val="Bibliography"/>
      </w:pPr>
      <w:r>
        <w:t xml:space="preserve">Savitzky, A., Golay, M.J., 1964. Smoothing and differentiation of data by simplified least squares procedures. Analytical chemistry 36, 1627–1639.</w:t>
      </w:r>
    </w:p>
    <w:bookmarkEnd w:id="865"/>
    <w:bookmarkStart w:id="866"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66"/>
    <w:bookmarkStart w:id="86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67">
        <w:r>
          <w:rPr>
            <w:rStyle w:val="Hyperlink"/>
          </w:rPr>
          <w:t xml:space="preserve">https://doi.org/10.1016/j.ecoser.2022.101414</w:t>
        </w:r>
      </w:hyperlink>
    </w:p>
    <w:bookmarkEnd w:id="868"/>
    <w:bookmarkStart w:id="870"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69">
        <w:r>
          <w:rPr>
            <w:rStyle w:val="Hyperlink"/>
          </w:rPr>
          <w:t xml:space="preserve">https://doi.org/10.3389/fevo.2021.767548</w:t>
        </w:r>
      </w:hyperlink>
    </w:p>
    <w:bookmarkEnd w:id="870"/>
    <w:bookmarkStart w:id="872"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71">
        <w:r>
          <w:rPr>
            <w:rStyle w:val="Hyperlink"/>
          </w:rPr>
          <w:t xml:space="preserve">https://doi.org/10.21105/joss.00821</w:t>
        </w:r>
      </w:hyperlink>
    </w:p>
    <w:bookmarkEnd w:id="872"/>
    <w:bookmarkStart w:id="873" w:name="ref-Schmidt2003"/>
    <w:p>
      <w:pPr>
        <w:pStyle w:val="Bibliography"/>
      </w:pPr>
      <w:r>
        <w:t xml:space="preserve">Schmidt, K., Skidmore, A., 2003. Spectral discrimination of vegetation types in a coastal wetland. Remote sensing of Environment 85, 92–108.</w:t>
      </w:r>
    </w:p>
    <w:bookmarkEnd w:id="873"/>
    <w:bookmarkStart w:id="874" w:name="ref-schneider2012nih"/>
    <w:p>
      <w:pPr>
        <w:pStyle w:val="Bibliography"/>
      </w:pPr>
      <w:r>
        <w:t xml:space="preserve">Schneider, C.A., Rasband, W.S., Eliceiri, K.W., 2012. NIH image to ImageJ: 25 years of image analysis. Nature methods 9, 671–675.</w:t>
      </w:r>
    </w:p>
    <w:bookmarkEnd w:id="874"/>
    <w:bookmarkStart w:id="875"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75"/>
    <w:bookmarkStart w:id="876"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76"/>
    <w:bookmarkStart w:id="878"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77">
        <w:r>
          <w:rPr>
            <w:rStyle w:val="Hyperlink"/>
          </w:rPr>
          <w:t xml:space="preserve">https://doi.org/10.1016/j.marenvres.2021.105475</w:t>
        </w:r>
      </w:hyperlink>
    </w:p>
    <w:bookmarkEnd w:id="878"/>
    <w:bookmarkStart w:id="879"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79"/>
    <w:bookmarkStart w:id="880"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80"/>
    <w:bookmarkStart w:id="882" w:name="Xbef41143b4d4042e58f11cfc27e216202646012"/>
    <w:p>
      <w:pPr>
        <w:pStyle w:val="Bibliography"/>
      </w:pPr>
      <w:r>
        <w:t xml:space="preserve">SHOM, n.d.</w:t>
      </w:r>
      <w:r>
        <w:t xml:space="preserve"> </w:t>
      </w:r>
      <w:hyperlink r:id="rId881">
        <w:r>
          <w:rPr>
            <w:rStyle w:val="Hyperlink"/>
          </w:rPr>
          <w:t xml:space="preserve">Service hydrographique et océanographique de la marine ; bathymétrie Litto3D® bretagne 2018-2021</w:t>
        </w:r>
      </w:hyperlink>
      <w:r>
        <w:t xml:space="preserve">.</w:t>
      </w:r>
    </w:p>
    <w:bookmarkEnd w:id="882"/>
    <w:bookmarkStart w:id="884" w:name="ref-shom"/>
    <w:p>
      <w:pPr>
        <w:pStyle w:val="Bibliography"/>
      </w:pPr>
      <w:r>
        <w:t xml:space="preserve">SHOM, 2024.</w:t>
      </w:r>
      <w:r>
        <w:t xml:space="preserve"> </w:t>
      </w:r>
      <w:hyperlink r:id="rId883">
        <w:r>
          <w:rPr>
            <w:rStyle w:val="Hyperlink"/>
          </w:rPr>
          <w:t xml:space="preserve">Service hydrographique et océanographique de la marine (SHOM)</w:t>
        </w:r>
      </w:hyperlink>
      <w:r>
        <w:t xml:space="preserve">.</w:t>
      </w:r>
    </w:p>
    <w:bookmarkEnd w:id="884"/>
    <w:bookmarkStart w:id="886" w:name="ref-shom_ram_2022"/>
    <w:p>
      <w:pPr>
        <w:pStyle w:val="Bibliography"/>
      </w:pPr>
      <w:r>
        <w:t xml:space="preserve">SHOM, 2022.</w:t>
      </w:r>
      <w:r>
        <w:t xml:space="preserve"> </w:t>
      </w:r>
      <w:hyperlink r:id="rId885">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86"/>
    <w:bookmarkStart w:id="887" w:name="ref-simberloff2021maintenance"/>
    <w:p>
      <w:pPr>
        <w:pStyle w:val="Bibliography"/>
      </w:pPr>
      <w:r>
        <w:t xml:space="preserve">Simberloff, D., 2021. Maintenance management and eradication of established aquatic invaders. Hydrobiologia 848, 2399–2420.</w:t>
      </w:r>
    </w:p>
    <w:bookmarkEnd w:id="887"/>
    <w:bookmarkStart w:id="888" w:name="ref-simic2018drones"/>
    <w:p>
      <w:pPr>
        <w:pStyle w:val="Bibliography"/>
      </w:pPr>
      <w:r>
        <w:t xml:space="preserve">Simic Milas, A., Cracknell, A.P., Warner, T.A., 2018. Drones–the third generation source of remote sensing data. International Journal of Remote Sensing.</w:t>
      </w:r>
    </w:p>
    <w:bookmarkEnd w:id="888"/>
    <w:bookmarkStart w:id="890" w:name="ref-simolo2022quantifying"/>
    <w:p>
      <w:pPr>
        <w:pStyle w:val="Bibliography"/>
      </w:pPr>
      <w:r>
        <w:t xml:space="preserve">Simolo, C., Corti, S., 2022. Quantifying the role of variability in future intensification of heat extremes. Nature Communications 13.</w:t>
      </w:r>
      <w:r>
        <w:t xml:space="preserve"> </w:t>
      </w:r>
      <w:hyperlink r:id="rId889">
        <w:r>
          <w:rPr>
            <w:rStyle w:val="Hyperlink"/>
          </w:rPr>
          <w:t xml:space="preserve">https://doi.org/10.1038/s41467-022-35571-0</w:t>
        </w:r>
      </w:hyperlink>
    </w:p>
    <w:bookmarkEnd w:id="890"/>
    <w:bookmarkStart w:id="891"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91"/>
    <w:bookmarkStart w:id="892"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92"/>
    <w:bookmarkStart w:id="894" w:name="ref-Slaton2001"/>
    <w:p>
      <w:pPr>
        <w:pStyle w:val="Bibliography"/>
      </w:pPr>
      <w:r>
        <w:t xml:space="preserve">Slaton, M.R., Raymond Hunt Jr., E., Smith, W.K., 2001. Estimating near-infrared leaf reflectance from leaf structural characteristics. American Journal of Botany 88, 278–284. https://doi.org/</w:t>
      </w:r>
      <w:hyperlink r:id="rId893">
        <w:r>
          <w:rPr>
            <w:rStyle w:val="Hyperlink"/>
          </w:rPr>
          <w:t xml:space="preserve">https://doi.org/10.2307/2657019</w:t>
        </w:r>
      </w:hyperlink>
    </w:p>
    <w:bookmarkEnd w:id="894"/>
    <w:bookmarkStart w:id="896"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95">
        <w:r>
          <w:rPr>
            <w:rStyle w:val="Hyperlink"/>
          </w:rPr>
          <w:t xml:space="preserve">https://doi.org/10.1038/s41558-019-0412-1</w:t>
        </w:r>
      </w:hyperlink>
    </w:p>
    <w:bookmarkEnd w:id="896"/>
    <w:bookmarkStart w:id="897"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97"/>
    <w:bookmarkStart w:id="898"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98"/>
    <w:bookmarkStart w:id="899"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99"/>
    <w:bookmarkStart w:id="900"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900"/>
    <w:bookmarkStart w:id="901"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901"/>
    <w:bookmarkStart w:id="902" w:name="ref-stan2020rstan"/>
    <w:p>
      <w:pPr>
        <w:pStyle w:val="Bibliography"/>
      </w:pPr>
      <w:r>
        <w:t xml:space="preserve">Stan Development Team, C., others, 2020. RStan: The r interface to stan. R package version 2.21. 2.</w:t>
      </w:r>
    </w:p>
    <w:bookmarkEnd w:id="902"/>
    <w:bookmarkStart w:id="903" w:name="ref-steinmetz2011atmospheric"/>
    <w:p>
      <w:pPr>
        <w:pStyle w:val="Bibliography"/>
      </w:pPr>
      <w:r>
        <w:t xml:space="preserve">Steinmetz, F., Deschamps, P.-Y., Ramon, D., 2011. Atmospheric correction in presence of sun glint: Application to MERIS. Optics express 19, 9783–9800.</w:t>
      </w:r>
    </w:p>
    <w:bookmarkEnd w:id="903"/>
    <w:bookmarkStart w:id="904"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904"/>
    <w:bookmarkStart w:id="906"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905">
        <w:r>
          <w:rPr>
            <w:rStyle w:val="Hyperlink"/>
          </w:rPr>
          <w:t xml:space="preserve">https://doi.org/10.1152/physiol.00040.2018</w:t>
        </w:r>
      </w:hyperlink>
    </w:p>
    <w:bookmarkEnd w:id="906"/>
    <w:bookmarkStart w:id="907"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907"/>
    <w:bookmarkStart w:id="908"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908"/>
    <w:bookmarkStart w:id="909"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909"/>
    <w:bookmarkStart w:id="910"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910"/>
    <w:bookmarkStart w:id="911"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911"/>
    <w:bookmarkStart w:id="912"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912"/>
    <w:bookmarkStart w:id="913"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913"/>
    <w:bookmarkStart w:id="915"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914">
        <w:r>
          <w:rPr>
            <w:rStyle w:val="Hyperlink"/>
          </w:rPr>
          <w:t xml:space="preserve">https://doi.org/10.1007/s11356-011-0479-3</w:t>
        </w:r>
      </w:hyperlink>
    </w:p>
    <w:bookmarkEnd w:id="915"/>
    <w:bookmarkStart w:id="916"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916"/>
    <w:bookmarkStart w:id="917"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917"/>
    <w:bookmarkStart w:id="918" w:name="ref-thomsen2007stress"/>
    <w:p>
      <w:pPr>
        <w:pStyle w:val="Bibliography"/>
      </w:pPr>
      <w:r>
        <w:t xml:space="preserve">Thomsen, M., McGlathery, K.J., 2007. Stress tolerance of the invasive macroalgae codium fragile and gracilaria vermiculophylla in a soft-bottom turbid lagoon. Biological invasions 9, 499–513.</w:t>
      </w:r>
    </w:p>
    <w:bookmarkEnd w:id="918"/>
    <w:bookmarkStart w:id="919"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919"/>
    <w:bookmarkStart w:id="920"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920"/>
    <w:bookmarkStart w:id="921"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921"/>
    <w:bookmarkStart w:id="922"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922"/>
    <w:bookmarkStart w:id="923"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923"/>
    <w:bookmarkStart w:id="925" w:name="ref-Traganos2018"/>
    <w:p>
      <w:pPr>
        <w:pStyle w:val="Bibliography"/>
      </w:pPr>
      <w:r>
        <w:t xml:space="preserve">Traganos, D., Reinartz, P., 2018. Mapping mediterranean seagrasses with sentinel-2 imagery. Marine Pollution Bulletin 134, 197–209.</w:t>
      </w:r>
      <w:r>
        <w:t xml:space="preserve"> </w:t>
      </w:r>
      <w:hyperlink r:id="rId924">
        <w:r>
          <w:rPr>
            <w:rStyle w:val="Hyperlink"/>
          </w:rPr>
          <w:t xml:space="preserve">https://doi.org/10.1016/j.marpolbul.2017.06.075</w:t>
        </w:r>
      </w:hyperlink>
    </w:p>
    <w:bookmarkEnd w:id="925"/>
    <w:bookmarkStart w:id="926"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926"/>
    <w:bookmarkStart w:id="927"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927"/>
    <w:bookmarkStart w:id="929" w:name="ref-maritime_union_trade_2025"/>
    <w:p>
      <w:pPr>
        <w:pStyle w:val="Bibliography"/>
      </w:pPr>
      <w:r>
        <w:t xml:space="preserve">Union, M., 2025. How much trade is maritime? [WWW Document]. URL</w:t>
      </w:r>
      <w:r>
        <w:t xml:space="preserve"> </w:t>
      </w:r>
      <w:hyperlink r:id="rId928">
        <w:r>
          <w:rPr>
            <w:rStyle w:val="Hyperlink"/>
          </w:rPr>
          <w:t xml:space="preserve">https://maritime-union.org/how-much-trade-is-maritime</w:t>
        </w:r>
      </w:hyperlink>
    </w:p>
    <w:bookmarkEnd w:id="929"/>
    <w:bookmarkStart w:id="930" w:name="ref-unsworth2014biodiversity"/>
    <w:p>
      <w:pPr>
        <w:pStyle w:val="Bibliography"/>
      </w:pPr>
      <w:r>
        <w:t xml:space="preserve">Unsworth, R., Cullen-Unsworth, L.C., 2014. Biodiversity, ecosystem services, and the conservation of seagrass meadows. Coast. Conserv 19, 95.</w:t>
      </w:r>
    </w:p>
    <w:bookmarkEnd w:id="930"/>
    <w:bookmarkStart w:id="931" w:name="ref-unsworth2021seagrass"/>
    <w:p>
      <w:pPr>
        <w:pStyle w:val="Bibliography"/>
      </w:pPr>
      <w:r>
        <w:t xml:space="preserve">Unsworth, R.K., Butterworth, E.G., 2021. Seagrass meadows provide a significant resource in support of avifauna. Diversity 13, 363.</w:t>
      </w:r>
    </w:p>
    <w:bookmarkEnd w:id="931"/>
    <w:bookmarkStart w:id="932" w:name="ref-Unsworth2022"/>
    <w:p>
      <w:pPr>
        <w:pStyle w:val="Bibliography"/>
      </w:pPr>
      <w:r>
        <w:t xml:space="preserve">Unsworth, R.K., Cullen-Unsworth, L.C., Jones, B.L., Lilley, R.J., 2022. The planetary role of seagrass conservation. Science 377, 609–613.</w:t>
      </w:r>
    </w:p>
    <w:bookmarkEnd w:id="932"/>
    <w:bookmarkStart w:id="933"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933"/>
    <w:bookmarkStart w:id="934" w:name="ref-unsworth2019seagrass"/>
    <w:p>
      <w:pPr>
        <w:pStyle w:val="Bibliography"/>
      </w:pPr>
      <w:r>
        <w:t xml:space="preserve">Unsworth, R.K., Nordlund, L.M., Cullen-Unsworth, L.C., 2019b. Seagrass meadows support global fisheries production. Conservation Letters 12, e12566.</w:t>
      </w:r>
    </w:p>
    <w:bookmarkEnd w:id="934"/>
    <w:bookmarkStart w:id="935"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935"/>
    <w:bookmarkStart w:id="937"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936">
        <w:r>
          <w:rPr>
            <w:rStyle w:val="Hyperlink"/>
          </w:rPr>
          <w:t xml:space="preserve">https://doi.org/10.1641/0006-3568(2004)054[0523:UISTSE]2.0.CO;2</w:t>
        </w:r>
      </w:hyperlink>
    </w:p>
    <w:bookmarkEnd w:id="937"/>
    <w:bookmarkStart w:id="938" w:name="ref-valderrama2013social"/>
    <w:p>
      <w:pPr>
        <w:pStyle w:val="Bibliography"/>
      </w:pPr>
      <w:r>
        <w:t xml:space="preserve">Valderrama, D., Cai, J., Hishamunda, N., Ridler, N., 2013. Social and economic dimensions of carrageenan seaweed farming.</w:t>
      </w:r>
    </w:p>
    <w:bookmarkEnd w:id="938"/>
    <w:bookmarkStart w:id="939"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939"/>
    <w:bookmarkStart w:id="940"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940"/>
    <w:bookmarkStart w:id="942"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941">
        <w:r>
          <w:rPr>
            <w:rStyle w:val="Hyperlink"/>
          </w:rPr>
          <w:t xml:space="preserve">https://doi.org/10.1127/0340-269X/2003/0033-0187</w:t>
        </w:r>
      </w:hyperlink>
    </w:p>
    <w:bookmarkEnd w:id="942"/>
    <w:bookmarkStart w:id="943"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943"/>
    <w:bookmarkStart w:id="944"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944"/>
    <w:bookmarkStart w:id="945"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945"/>
    <w:bookmarkStart w:id="946"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946"/>
    <w:bookmarkStart w:id="947"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947"/>
    <w:bookmarkStart w:id="948" w:name="ref-walker1992seagrass"/>
    <w:p>
      <w:pPr>
        <w:pStyle w:val="Bibliography"/>
      </w:pPr>
      <w:r>
        <w:t xml:space="preserve">Walker, D.I., McComb, A.J., 1992. Seagrass degradation in australian coastal waters. Marine Pollution Bulletin 25, 191–195.</w:t>
      </w:r>
    </w:p>
    <w:bookmarkEnd w:id="948"/>
    <w:bookmarkStart w:id="949" w:name="ref-wang2020estimation"/>
    <w:p>
      <w:pPr>
        <w:pStyle w:val="Bibliography"/>
      </w:pPr>
      <w:r>
        <w:t xml:space="preserve">Wang, Y., Fang, H., 2020. Estimation of LAI with the LiDAR technology: A review. Remote Sensing 12, 3457.</w:t>
      </w:r>
    </w:p>
    <w:bookmarkEnd w:id="949"/>
    <w:bookmarkStart w:id="950" w:name="ref-wang2022"/>
    <w:p>
      <w:pPr>
        <w:pStyle w:val="Bibliography"/>
      </w:pPr>
      <w:r>
        <w:t xml:space="preserve">Wang, Z., Fang, Z., Liang, J., Song, X., 2022. Assessment of global habitat suitability and risk of ocean green tides. Harmful Algae 119, 102324.</w:t>
      </w:r>
    </w:p>
    <w:bookmarkEnd w:id="950"/>
    <w:bookmarkStart w:id="951"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951"/>
    <w:bookmarkStart w:id="953" w:name="ref-WEI2015399"/>
    <w:p>
      <w:pPr>
        <w:pStyle w:val="Bibliography"/>
      </w:pPr>
      <w:r>
        <w:t xml:space="preserve">Wei, P., Lu, Z., Song, J., 2015. Variable importance analysis: A comprehensive review. Reliability Engineering and System Safety 142, 399–432. https://doi.org/</w:t>
      </w:r>
      <w:hyperlink r:id="rId952">
        <w:r>
          <w:rPr>
            <w:rStyle w:val="Hyperlink"/>
          </w:rPr>
          <w:t xml:space="preserve">https://doi.org/10.1016/j.ress.2015.05.018</w:t>
        </w:r>
      </w:hyperlink>
    </w:p>
    <w:bookmarkEnd w:id="953"/>
    <w:bookmarkStart w:id="954"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954"/>
    <w:bookmarkStart w:id="955"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955"/>
    <w:bookmarkStart w:id="956" w:name="ref-werbos1974beyond"/>
    <w:p>
      <w:pPr>
        <w:pStyle w:val="Bibliography"/>
      </w:pPr>
      <w:r>
        <w:t xml:space="preserve">Werbos, P., 1974. Beyond regression: New tools for prediction and analysis in the behavioral sciences. PhD thesis, Committee on Applied Mathematics, Harvard University, Cambridge, MA.</w:t>
      </w:r>
    </w:p>
    <w:bookmarkEnd w:id="956"/>
    <w:bookmarkStart w:id="957" w:name="ref-williams2007global"/>
    <w:p>
      <w:pPr>
        <w:pStyle w:val="Bibliography"/>
      </w:pPr>
      <w:r>
        <w:t xml:space="preserve">Williams, S.L., Smith, J.E., 2007. A global review of the distribution, taxonomy, and impacts of introduced seaweeds. Annu. Rev. Ecol. Evol. Syst. 38, 327–359.</w:t>
      </w:r>
    </w:p>
    <w:bookmarkEnd w:id="957"/>
    <w:bookmarkStart w:id="958"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958"/>
    <w:bookmarkStart w:id="959" w:name="ref-wolff2002oyster"/>
    <w:p>
      <w:pPr>
        <w:pStyle w:val="Bibliography"/>
      </w:pPr>
      <w:r>
        <w:t xml:space="preserve">Wolff, W.J., Reise, K., 2002. Oyster imports as a vector for the introduction of alien species into northern and western european coastal waters, in: Invasive Aquatic Species of Europe. Distribution, Impacts and Management. Springer, pp. 193–205.</w:t>
      </w:r>
    </w:p>
    <w:bookmarkEnd w:id="959"/>
    <w:bookmarkStart w:id="961"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960">
        <w:r>
          <w:rPr>
            <w:rStyle w:val="Hyperlink"/>
          </w:rPr>
          <w:t xml:space="preserve">https://doi.org/10.18637/jss.v077.i01</w:t>
        </w:r>
      </w:hyperlink>
    </w:p>
    <w:bookmarkEnd w:id="961"/>
    <w:bookmarkStart w:id="962"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962"/>
    <w:bookmarkStart w:id="964"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963">
        <w:r>
          <w:rPr>
            <w:rStyle w:val="Hyperlink"/>
          </w:rPr>
          <w:t xml:space="preserve">https://doi.org/10.1155/2017/1353691</w:t>
        </w:r>
      </w:hyperlink>
    </w:p>
    <w:bookmarkEnd w:id="964"/>
    <w:bookmarkStart w:id="965"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965"/>
    <w:bookmarkStart w:id="966" w:name="ref-yuan2021review"/>
    <w:p>
      <w:pPr>
        <w:pStyle w:val="Bibliography"/>
      </w:pPr>
      <w:r>
        <w:t xml:space="preserve">Yuan, X., Shi, J., Gu, L., 2021. A review of deep learning methods for semantic segmentation of remote sensing imagery. Expert Systems with Applications 169, 114417.</w:t>
      </w:r>
    </w:p>
    <w:bookmarkEnd w:id="966"/>
    <w:bookmarkStart w:id="967" w:name="ref-zahoor2023water"/>
    <w:p>
      <w:pPr>
        <w:pStyle w:val="Bibliography"/>
      </w:pPr>
      <w:r>
        <w:t xml:space="preserve">Zahoor, I., Mushtaq, A., 2023. Water pollution from agricultural activities: A critical global review. Int. J. Chem. Biochem. Sci 23, 164–176.</w:t>
      </w:r>
    </w:p>
    <w:bookmarkEnd w:id="967"/>
    <w:bookmarkStart w:id="969"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968">
        <w:r>
          <w:rPr>
            <w:rStyle w:val="Hyperlink"/>
          </w:rPr>
          <w:t xml:space="preserve">https://doi.org/10.3390/d14121077</w:t>
        </w:r>
      </w:hyperlink>
    </w:p>
    <w:bookmarkEnd w:id="969"/>
    <w:bookmarkStart w:id="970" w:name="ref-zhu2020analysis"/>
    <w:p>
      <w:pPr>
        <w:pStyle w:val="Bibliography"/>
      </w:pPr>
      <w:r>
        <w:t xml:space="preserve">Zhu, T., 2020. Analysis on the applicability of the random forest, in: Journal of Physics: Conference Series. IOP Publishing, p. 012123.</w:t>
      </w:r>
    </w:p>
    <w:bookmarkEnd w:id="970"/>
    <w:bookmarkStart w:id="971"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71"/>
    <w:bookmarkStart w:id="972"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72"/>
    <w:bookmarkStart w:id="973"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73"/>
    <w:bookmarkEnd w:id="974"/>
    <w:bookmarkEnd w:id="975"/>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5" Target="media/rId55.png" /><Relationship Type="http://schemas.openxmlformats.org/officeDocument/2006/relationships/image" Id="rId126" Target="media/rId126.png" /><Relationship Type="http://schemas.openxmlformats.org/officeDocument/2006/relationships/image" Id="rId113" Target="media/rId113.jp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60" Target="media/rId60.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4" Target="media/rId94.png" /><Relationship Type="http://schemas.openxmlformats.org/officeDocument/2006/relationships/image" Id="rId119" Target="media/rId11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154" Target="media/rId154.jpg" /><Relationship Type="http://schemas.openxmlformats.org/officeDocument/2006/relationships/image" Id="rId158" Target="media/rId158.jpg" /><Relationship Type="http://schemas.openxmlformats.org/officeDocument/2006/relationships/image" Id="rId163" Target="media/rId163.jpg" /><Relationship Type="http://schemas.openxmlformats.org/officeDocument/2006/relationships/image" Id="rId173" Target="media/rId173.jpg" /><Relationship Type="http://schemas.openxmlformats.org/officeDocument/2006/relationships/image" Id="rId178" Target="media/rId178.jpg" /><Relationship Type="http://schemas.openxmlformats.org/officeDocument/2006/relationships/image" Id="rId183" Target="media/rId183.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200" Target="media/rId200.jpg" /><Relationship Type="http://schemas.openxmlformats.org/officeDocument/2006/relationships/image" Id="rId150" Target="media/rId150.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219" Target="media/rId219.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229" Target="media/rId229.png" /><Relationship Type="http://schemas.openxmlformats.org/officeDocument/2006/relationships/image" Id="rId236" Target="media/rId236.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24" Target="media/rId224.png" /><Relationship Type="http://schemas.openxmlformats.org/officeDocument/2006/relationships/image" Id="rId240" Target="media/rId240.png" /><Relationship Type="http://schemas.openxmlformats.org/officeDocument/2006/relationships/image" Id="rId348" Target="media/rId348.png" /><Relationship Type="http://schemas.openxmlformats.org/officeDocument/2006/relationships/image" Id="rId338" Target="media/rId338.png" /><Relationship Type="http://schemas.openxmlformats.org/officeDocument/2006/relationships/image" Id="rId316" Target="media/rId316.png" /><Relationship Type="http://schemas.openxmlformats.org/officeDocument/2006/relationships/image" Id="rId326" Target="media/rId326.png" /><Relationship Type="http://schemas.openxmlformats.org/officeDocument/2006/relationships/image" Id="rId352" Target="media/rId352.png" /><Relationship Type="http://schemas.openxmlformats.org/officeDocument/2006/relationships/image" Id="rId334" Target="media/rId334.png" /><Relationship Type="http://schemas.openxmlformats.org/officeDocument/2006/relationships/image" Id="rId311" Target="media/rId311.png" /><Relationship Type="http://schemas.openxmlformats.org/officeDocument/2006/relationships/image" Id="rId367" Target="media/rId367.png" /><Relationship Type="http://schemas.openxmlformats.org/officeDocument/2006/relationships/image" Id="rId343" Target="media/rId343.png" /><Relationship Type="http://schemas.openxmlformats.org/officeDocument/2006/relationships/image" Id="rId380" Target="media/rId380.png" /><Relationship Type="http://schemas.openxmlformats.org/officeDocument/2006/relationships/image" Id="rId375" Target="media/rId375.png" /><Relationship Type="http://schemas.openxmlformats.org/officeDocument/2006/relationships/image" Id="rId441" Target="media/rId441.png" /><Relationship Type="http://schemas.openxmlformats.org/officeDocument/2006/relationships/image" Id="rId428" Target="media/rId428.png" /><Relationship Type="http://schemas.openxmlformats.org/officeDocument/2006/relationships/image" Id="rId388" Target="media/rId388.png" /><Relationship Type="http://schemas.openxmlformats.org/officeDocument/2006/relationships/image" Id="rId395" Target="media/rId395.png" /><Relationship Type="http://schemas.openxmlformats.org/officeDocument/2006/relationships/image" Id="rId422" Target="media/rId422.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54" Target="media/rId454.png" /><Relationship Type="http://schemas.openxmlformats.org/officeDocument/2006/relationships/image" Id="rId399" Target="media/rId399.png" /><Relationship Type="http://schemas.openxmlformats.org/officeDocument/2006/relationships/image" Id="rId418" Target="media/rId418.png" /><Relationship Type="http://schemas.openxmlformats.org/officeDocument/2006/relationships/image" Id="rId413" Target="media/rId413.png" /><Relationship Type="http://schemas.openxmlformats.org/officeDocument/2006/relationships/image" Id="rId462" Target="media/rId462.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33" Target="media/rId33.png" /><Relationship Type="http://schemas.openxmlformats.org/officeDocument/2006/relationships/hyperlink" Id="rId530" Target="http://arxiv.org/abs/1710.02939" TargetMode="External" /><Relationship Type="http://schemas.openxmlformats.org/officeDocument/2006/relationships/hyperlink" Id="rId483" Target="http://prisma.asi.it/missionselect/docs/PRISMA%20Product%20Specifications_Is2_3.pdf" TargetMode="External" /><Relationship Type="http://schemas.openxmlformats.org/officeDocument/2006/relationships/hyperlink" Id="rId547" Target="https://CRAN.R-project.org/package = shiny" TargetMode="External" /><Relationship Type="http://schemas.openxmlformats.org/officeDocument/2006/relationships/hyperlink" Id="rId661" Target="https://CRAN.R-project.org/package = terra" TargetMode="External" /><Relationship Type="http://schemas.openxmlformats.org/officeDocument/2006/relationships/hyperlink" Id="rId628" Target="https://CRAN.R-project.org/package=rsample" TargetMode="External" /><Relationship Type="http://schemas.openxmlformats.org/officeDocument/2006/relationships/hyperlink" Id="rId802" Target="https://CRAN.R-project.org/package=vegan" TargetMode="External" /><Relationship Type="http://schemas.openxmlformats.org/officeDocument/2006/relationships/hyperlink" Id="rId705"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85" Target="https://diffusion.shom.fr/references-altimetriques-maritimes-ram.html" TargetMode="External" /><Relationship Type="http://schemas.openxmlformats.org/officeDocument/2006/relationships/hyperlink" Id="rId655" Target="https://doi.org/10.1002/aqc.4210" TargetMode="External" /><Relationship Type="http://schemas.openxmlformats.org/officeDocument/2006/relationships/hyperlink" Id="rId777" Target="https://doi.org/10.1002/eap.1682" TargetMode="External" /><Relationship Type="http://schemas.openxmlformats.org/officeDocument/2006/relationships/hyperlink" Id="rId543"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40" Target="https://doi.org/10.1007/s00227-012-1987-5" TargetMode="External" /><Relationship Type="http://schemas.openxmlformats.org/officeDocument/2006/relationships/hyperlink" Id="rId570" Target="https://doi.org/10.1007/s11099-007-0084-3" TargetMode="External" /><Relationship Type="http://schemas.openxmlformats.org/officeDocument/2006/relationships/hyperlink" Id="rId914" Target="https://doi.org/10.1007/s11356-011-0479-3" TargetMode="External" /><Relationship Type="http://schemas.openxmlformats.org/officeDocument/2006/relationships/hyperlink" Id="rId499" Target="https://doi.org/10.1007/s12237-021-00949-8" TargetMode="External" /><Relationship Type="http://schemas.openxmlformats.org/officeDocument/2006/relationships/hyperlink" Id="rId697" Target="https://doi.org/10.1016/S0034-4257(70)80021-9" TargetMode="External" /><Relationship Type="http://schemas.openxmlformats.org/officeDocument/2006/relationships/hyperlink" Id="rId687" Target="https://doi.org/10.1016/S0304-4238(05)80016-0" TargetMode="External" /><Relationship Type="http://schemas.openxmlformats.org/officeDocument/2006/relationships/hyperlink" Id="rId549" Target="https://doi.org/10.1016/j.algal.2017.04.021" TargetMode="External" /><Relationship Type="http://schemas.openxmlformats.org/officeDocument/2006/relationships/hyperlink" Id="rId494" Target="https://doi.org/10.1016/j.aquabot.2009.11.006" TargetMode="External" /><Relationship Type="http://schemas.openxmlformats.org/officeDocument/2006/relationships/hyperlink" Id="rId538" Target="https://doi.org/10.1016/j.csr.2013.01.010" TargetMode="External" /><Relationship Type="http://schemas.openxmlformats.org/officeDocument/2006/relationships/hyperlink" Id="rId566" Target="https://doi.org/10.1016/j.ecolind.2020.107018" TargetMode="External" /><Relationship Type="http://schemas.openxmlformats.org/officeDocument/2006/relationships/hyperlink" Id="rId867" Target="https://doi.org/10.1016/j.ecoser.2022.101414" TargetMode="External" /><Relationship Type="http://schemas.openxmlformats.org/officeDocument/2006/relationships/hyperlink" Id="rId709" Target="https://doi.org/10.1016/j.ecss.2005.12.004" TargetMode="External" /><Relationship Type="http://schemas.openxmlformats.org/officeDocument/2006/relationships/hyperlink" Id="rId636" Target="https://doi.org/10.1016/j.ecss.2021.107320" TargetMode="External" /><Relationship Type="http://schemas.openxmlformats.org/officeDocument/2006/relationships/hyperlink" Id="rId667" Target="https://doi.org/10.1016/j.envpol.2021.117731" TargetMode="External" /><Relationship Type="http://schemas.openxmlformats.org/officeDocument/2006/relationships/hyperlink" Id="rId490" Target="https://doi.org/10.1016/j.jembe.2013.04.012" TargetMode="External" /><Relationship Type="http://schemas.openxmlformats.org/officeDocument/2006/relationships/hyperlink" Id="rId755" Target="https://doi.org/10.1016/j.jphotobiol.2013.10.005" TargetMode="External" /><Relationship Type="http://schemas.openxmlformats.org/officeDocument/2006/relationships/hyperlink" Id="rId877" Target="https://doi.org/10.1016/j.marenvres.2021.105475" TargetMode="External" /><Relationship Type="http://schemas.openxmlformats.org/officeDocument/2006/relationships/hyperlink" Id="rId924" Target="https://doi.org/10.1016/j.marpolbul.2017.06.075" TargetMode="External" /><Relationship Type="http://schemas.openxmlformats.org/officeDocument/2006/relationships/hyperlink" Id="rId952" Target="https://doi.org/10.1016/j.ress.2015.05.018" TargetMode="External" /><Relationship Type="http://schemas.openxmlformats.org/officeDocument/2006/relationships/hyperlink" Id="rId492" Target="https://doi.org/10.1016/j.rse.2010.12.008" TargetMode="External" /><Relationship Type="http://schemas.openxmlformats.org/officeDocument/2006/relationships/hyperlink" Id="rId594" Target="https://doi.org/10.1016/j.rse.2015.01.027" TargetMode="External" /><Relationship Type="http://schemas.openxmlformats.org/officeDocument/2006/relationships/hyperlink" Id="rId659" Target="https://doi.org/10.1016/j.rse.2015.05.023" TargetMode="External" /><Relationship Type="http://schemas.openxmlformats.org/officeDocument/2006/relationships/hyperlink" Id="rId670" Target="https://doi.org/10.1016/j.rse.2017.01.037" TargetMode="External" /><Relationship Type="http://schemas.openxmlformats.org/officeDocument/2006/relationships/hyperlink" Id="rId574" Target="https://doi.org/10.1016/j.rse.2023.113554" TargetMode="External" /><Relationship Type="http://schemas.openxmlformats.org/officeDocument/2006/relationships/hyperlink" Id="rId579" Target="https://doi.org/10.1016/j.rse.2024.114340" TargetMode="External" /><Relationship Type="http://schemas.openxmlformats.org/officeDocument/2006/relationships/hyperlink" Id="rId506" Target="https://doi.org/10.1016/j.seares.2014.02.014" TargetMode="External" /><Relationship Type="http://schemas.openxmlformats.org/officeDocument/2006/relationships/hyperlink" Id="rId771" Target="https://doi.org/10.1017/s0031182002001476" TargetMode="External" /><Relationship Type="http://schemas.openxmlformats.org/officeDocument/2006/relationships/hyperlink" Id="rId856" Target="https://doi.org/10.1029/2023GL103540" TargetMode="External" /><Relationship Type="http://schemas.openxmlformats.org/officeDocument/2006/relationships/hyperlink" Id="rId889" Target="https://doi.org/10.1038/s41467-022-35571-0" TargetMode="External" /><Relationship Type="http://schemas.openxmlformats.org/officeDocument/2006/relationships/hyperlink" Id="rId895" Target="https://doi.org/10.1038/s41558-019-0412-1" TargetMode="External" /><Relationship Type="http://schemas.openxmlformats.org/officeDocument/2006/relationships/hyperlink" Id="rId781" Target="https://doi.org/10.1038/s41586-018-0805-8" TargetMode="External" /><Relationship Type="http://schemas.openxmlformats.org/officeDocument/2006/relationships/hyperlink" Id="rId744" Target="https://doi.org/10.1038/s41598-019-50643-w" TargetMode="External" /><Relationship Type="http://schemas.openxmlformats.org/officeDocument/2006/relationships/hyperlink" Id="rId767" Target="https://doi.org/10.1038/s41598-021-83597-z" TargetMode="External" /><Relationship Type="http://schemas.openxmlformats.org/officeDocument/2006/relationships/hyperlink" Id="rId577" Target="https://doi.org/10.1038/s43247-024-01543-z" TargetMode="External" /><Relationship Type="http://schemas.openxmlformats.org/officeDocument/2006/relationships/hyperlink" Id="rId703" Target="https://doi.org/10.1063/1.44433" TargetMode="External" /><Relationship Type="http://schemas.openxmlformats.org/officeDocument/2006/relationships/hyperlink" Id="rId672" Target="https://doi.org/10.1073/pnas.0402642101" TargetMode="External" /><Relationship Type="http://schemas.openxmlformats.org/officeDocument/2006/relationships/hyperlink" Id="rId843" Target="https://doi.org/10.1073/pnas.0500008102" TargetMode="External" /><Relationship Type="http://schemas.openxmlformats.org/officeDocument/2006/relationships/hyperlink" Id="rId760" Target="https://doi.org/10.1080/17445647.2021.1925170" TargetMode="External" /><Relationship Type="http://schemas.openxmlformats.org/officeDocument/2006/relationships/hyperlink" Id="rId764" Target="https://doi.org/10.1111/GCB.14108" TargetMode="External" /><Relationship Type="http://schemas.openxmlformats.org/officeDocument/2006/relationships/hyperlink" Id="rId810" Target="https://doi.org/10.1111/gcb.14282" TargetMode="External" /><Relationship Type="http://schemas.openxmlformats.org/officeDocument/2006/relationships/hyperlink" Id="rId941" Target="https://doi.org/10.1127/0340-269X/2003/0033-0187" TargetMode="External" /><Relationship Type="http://schemas.openxmlformats.org/officeDocument/2006/relationships/hyperlink" Id="rId905" Target="https://doi.org/10.1152/physiol.00040.2018" TargetMode="External" /><Relationship Type="http://schemas.openxmlformats.org/officeDocument/2006/relationships/hyperlink" Id="rId963" Target="https://doi.org/10.1155/2017/1353691" TargetMode="External" /><Relationship Type="http://schemas.openxmlformats.org/officeDocument/2006/relationships/hyperlink" Id="rId689" Target="https://doi.org/10.1177/0309133309339563" TargetMode="External" /><Relationship Type="http://schemas.openxmlformats.org/officeDocument/2006/relationships/hyperlink" Id="rId581" Target="https://doi.org/10.15468/n4ak6x" TargetMode="External" /><Relationship Type="http://schemas.openxmlformats.org/officeDocument/2006/relationships/hyperlink" Id="rId936" Target="https://doi.org/10.1641/0006-3568(2004)054[0523:UISTSE]2.0.CO;2" TargetMode="External" /><Relationship Type="http://schemas.openxmlformats.org/officeDocument/2006/relationships/hyperlink" Id="rId535" Target="https://doi.org/10.18637/jss.v076.i01" TargetMode="External" /><Relationship Type="http://schemas.openxmlformats.org/officeDocument/2006/relationships/hyperlink" Id="rId960" Target="https://doi.org/10.18637/jss.v077.i01" TargetMode="External" /><Relationship Type="http://schemas.openxmlformats.org/officeDocument/2006/relationships/hyperlink" Id="rId524" Target="https://doi.org/10.18637/jss.v080.i01" TargetMode="External" /><Relationship Type="http://schemas.openxmlformats.org/officeDocument/2006/relationships/hyperlink" Id="rId520" Target="https://doi.org/10.18637/jss.v100.i05" TargetMode="External" /><Relationship Type="http://schemas.openxmlformats.org/officeDocument/2006/relationships/hyperlink" Id="rId871" Target="https://doi.org/10.21105/joss.00821" TargetMode="External" /><Relationship Type="http://schemas.openxmlformats.org/officeDocument/2006/relationships/hyperlink" Id="rId893" Target="https://doi.org/10.2307/2657019" TargetMode="External" /><Relationship Type="http://schemas.openxmlformats.org/officeDocument/2006/relationships/hyperlink" Id="rId616" Target="https://doi.org/10.2785/7794" TargetMode="External" /><Relationship Type="http://schemas.openxmlformats.org/officeDocument/2006/relationships/hyperlink" Id="rId522" Target="https://doi.org/10.32614/RJ-2018-017" TargetMode="External" /><Relationship Type="http://schemas.openxmlformats.org/officeDocument/2006/relationships/hyperlink" Id="rId643" Target="https://doi.org/10.32614/RJ-2020-013" TargetMode="External" /><Relationship Type="http://schemas.openxmlformats.org/officeDocument/2006/relationships/hyperlink" Id="rId503" Target="https://doi.org/10.3354/meps14588" TargetMode="External" /><Relationship Type="http://schemas.openxmlformats.org/officeDocument/2006/relationships/hyperlink" Id="rId869" Target="https://doi.org/10.3389/fevo.2021.767548" TargetMode="External" /><Relationship Type="http://schemas.openxmlformats.org/officeDocument/2006/relationships/hyperlink" Id="rId804" Target="https://doi.org/10.3389/fmars.2019.00734" TargetMode="External" /><Relationship Type="http://schemas.openxmlformats.org/officeDocument/2006/relationships/hyperlink" Id="rId516" Target="https://doi.org/10.3390/RS14020307" TargetMode="External" /><Relationship Type="http://schemas.openxmlformats.org/officeDocument/2006/relationships/hyperlink" Id="rId657" Target="https://doi.org/10.3390/app8122688" TargetMode="External" /><Relationship Type="http://schemas.openxmlformats.org/officeDocument/2006/relationships/hyperlink" Id="rId968" Target="https://doi.org/10.3390/d14121077" TargetMode="External" /><Relationship Type="http://schemas.openxmlformats.org/officeDocument/2006/relationships/hyperlink" Id="rId741" Target="https://doi.org/10.3390/d15020161" TargetMode="External" /><Relationship Type="http://schemas.openxmlformats.org/officeDocument/2006/relationships/hyperlink" Id="rId757" Target="https://doi.org/10.3390/jmse11020367" TargetMode="External" /><Relationship Type="http://schemas.openxmlformats.org/officeDocument/2006/relationships/hyperlink" Id="rId747" Target="https://doi.org/10.3390/rs11060704" TargetMode="External" /><Relationship Type="http://schemas.openxmlformats.org/officeDocument/2006/relationships/hyperlink" Id="rId597" Target="https://doi.org/10.3390/rs14133124" TargetMode="External" /><Relationship Type="http://schemas.openxmlformats.org/officeDocument/2006/relationships/hyperlink" Id="rId800" Target="https://doi.org/10.3390/rs16234383" TargetMode="External" /><Relationship Type="http://schemas.openxmlformats.org/officeDocument/2006/relationships/hyperlink" Id="rId556" Target="https://doi.org/10.48670/moi-00311" TargetMode="External" /><Relationship Type="http://schemas.openxmlformats.org/officeDocument/2006/relationships/hyperlink" Id="rId813" Target="https://doi.org/10.5281/zenodo.3463051" TargetMode="External" /><Relationship Type="http://schemas.openxmlformats.org/officeDocument/2006/relationships/hyperlink" Id="rId608" Target="https://electricblue.eu/intertidal-chamber" TargetMode="External" /><Relationship Type="http://schemas.openxmlformats.org/officeDocument/2006/relationships/hyperlink" Id="rId403"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14" Target="https://ipbes.net/global-assessment%0Ahttps://ipbes.net/global-assessment-report-biodiversity-ecosystem-services" TargetMode="External" /><Relationship Type="http://schemas.openxmlformats.org/officeDocument/2006/relationships/hyperlink" Id="rId815" Target="https://marinespecies.org/aphia.php?p = sourcedetails&amp;id = 303450" TargetMode="External" /><Relationship Type="http://schemas.openxmlformats.org/officeDocument/2006/relationships/hyperlink" Id="rId928" Target="https://maritime-union.org/how-much-trade-is-maritime" TargetMode="External" /><Relationship Type="http://schemas.openxmlformats.org/officeDocument/2006/relationships/hyperlink" Id="rId797"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81" Target="https://services.data.shom.fr/geonetwork/srv/fre/catalog.search#/metadata/BATHYMETRIE_LITTO3D_BZH_2018_2021.xml" TargetMode="External" /><Relationship Type="http://schemas.openxmlformats.org/officeDocument/2006/relationships/hyperlink" Id="rId830" Target="https://www.R-project.org/" TargetMode="External" /><Relationship Type="http://schemas.openxmlformats.org/officeDocument/2006/relationships/hyperlink" Id="rId474" Target="https://www.agisoft.com/" TargetMode="External" /><Relationship Type="http://schemas.openxmlformats.org/officeDocument/2006/relationships/hyperlink" Id="rId28" Target="https://www.dlr.de/en" TargetMode="External" /><Relationship Type="http://schemas.openxmlformats.org/officeDocument/2006/relationships/hyperlink" Id="rId674" Target="https://www.ign.fr" TargetMode="External" /><Relationship Type="http://schemas.openxmlformats.org/officeDocument/2006/relationships/hyperlink" Id="rId618" Target="https://www.imo.org" TargetMode="External" /><Relationship Type="http://schemas.openxmlformats.org/officeDocument/2006/relationships/hyperlink" Id="rId678" Target="https://www.ioc-sealevelmonitoring.org/station.php?code = lecy" TargetMode="External" /><Relationship Type="http://schemas.openxmlformats.org/officeDocument/2006/relationships/hyperlink" Id="rId681" Target="https://www.itopf.org/knowledge-resources/data-statistics/statistics/" TargetMode="External" /><Relationship Type="http://schemas.openxmlformats.org/officeDocument/2006/relationships/hyperlink" Id="rId733" Target="https://www.malvernpanalytical.com/en/support/product-support/software/rs3" TargetMode="External" /><Relationship Type="http://schemas.openxmlformats.org/officeDocument/2006/relationships/hyperlink" Id="rId828" Target="https://www.qgis.org" TargetMode="External" /><Relationship Type="http://schemas.openxmlformats.org/officeDocument/2006/relationships/hyperlink" Id="rId845" Target="https://www.reuters.com/business/environment/aquafarming-becomes-main-global-source-fish-un-food-agency-says-2024-06-07/" TargetMode="External" /><Relationship Type="http://schemas.openxmlformats.org/officeDocument/2006/relationships/hyperlink" Id="rId883" Target="https://www.shom.fr" TargetMode="External" /><Relationship Type="http://schemas.openxmlformats.org/officeDocument/2006/relationships/hyperlink" Id="rId707"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30" Target="http://arxiv.org/abs/1710.02939" TargetMode="External" /><Relationship Type="http://schemas.openxmlformats.org/officeDocument/2006/relationships/hyperlink" Id="rId483" Target="http://prisma.asi.it/missionselect/docs/PRISMA%20Product%20Specifications_Is2_3.pdf" TargetMode="External" /><Relationship Type="http://schemas.openxmlformats.org/officeDocument/2006/relationships/hyperlink" Id="rId547" Target="https://CRAN.R-project.org/package = shiny" TargetMode="External" /><Relationship Type="http://schemas.openxmlformats.org/officeDocument/2006/relationships/hyperlink" Id="rId661" Target="https://CRAN.R-project.org/package = terra" TargetMode="External" /><Relationship Type="http://schemas.openxmlformats.org/officeDocument/2006/relationships/hyperlink" Id="rId628" Target="https://CRAN.R-project.org/package=rsample" TargetMode="External" /><Relationship Type="http://schemas.openxmlformats.org/officeDocument/2006/relationships/hyperlink" Id="rId802" Target="https://CRAN.R-project.org/package=vegan" TargetMode="External" /><Relationship Type="http://schemas.openxmlformats.org/officeDocument/2006/relationships/hyperlink" Id="rId705"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885" Target="https://diffusion.shom.fr/references-altimetriques-maritimes-ram.html" TargetMode="External" /><Relationship Type="http://schemas.openxmlformats.org/officeDocument/2006/relationships/hyperlink" Id="rId655" Target="https://doi.org/10.1002/aqc.4210" TargetMode="External" /><Relationship Type="http://schemas.openxmlformats.org/officeDocument/2006/relationships/hyperlink" Id="rId777" Target="https://doi.org/10.1002/eap.1682" TargetMode="External" /><Relationship Type="http://schemas.openxmlformats.org/officeDocument/2006/relationships/hyperlink" Id="rId543"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40" Target="https://doi.org/10.1007/s00227-012-1987-5" TargetMode="External" /><Relationship Type="http://schemas.openxmlformats.org/officeDocument/2006/relationships/hyperlink" Id="rId570" Target="https://doi.org/10.1007/s11099-007-0084-3" TargetMode="External" /><Relationship Type="http://schemas.openxmlformats.org/officeDocument/2006/relationships/hyperlink" Id="rId914" Target="https://doi.org/10.1007/s11356-011-0479-3" TargetMode="External" /><Relationship Type="http://schemas.openxmlformats.org/officeDocument/2006/relationships/hyperlink" Id="rId499" Target="https://doi.org/10.1007/s12237-021-00949-8" TargetMode="External" /><Relationship Type="http://schemas.openxmlformats.org/officeDocument/2006/relationships/hyperlink" Id="rId697" Target="https://doi.org/10.1016/S0034-4257(70)80021-9" TargetMode="External" /><Relationship Type="http://schemas.openxmlformats.org/officeDocument/2006/relationships/hyperlink" Id="rId687" Target="https://doi.org/10.1016/S0304-4238(05)80016-0" TargetMode="External" /><Relationship Type="http://schemas.openxmlformats.org/officeDocument/2006/relationships/hyperlink" Id="rId549" Target="https://doi.org/10.1016/j.algal.2017.04.021" TargetMode="External" /><Relationship Type="http://schemas.openxmlformats.org/officeDocument/2006/relationships/hyperlink" Id="rId494" Target="https://doi.org/10.1016/j.aquabot.2009.11.006" TargetMode="External" /><Relationship Type="http://schemas.openxmlformats.org/officeDocument/2006/relationships/hyperlink" Id="rId538" Target="https://doi.org/10.1016/j.csr.2013.01.010" TargetMode="External" /><Relationship Type="http://schemas.openxmlformats.org/officeDocument/2006/relationships/hyperlink" Id="rId566" Target="https://doi.org/10.1016/j.ecolind.2020.107018" TargetMode="External" /><Relationship Type="http://schemas.openxmlformats.org/officeDocument/2006/relationships/hyperlink" Id="rId867" Target="https://doi.org/10.1016/j.ecoser.2022.101414" TargetMode="External" /><Relationship Type="http://schemas.openxmlformats.org/officeDocument/2006/relationships/hyperlink" Id="rId709" Target="https://doi.org/10.1016/j.ecss.2005.12.004" TargetMode="External" /><Relationship Type="http://schemas.openxmlformats.org/officeDocument/2006/relationships/hyperlink" Id="rId636" Target="https://doi.org/10.1016/j.ecss.2021.107320" TargetMode="External" /><Relationship Type="http://schemas.openxmlformats.org/officeDocument/2006/relationships/hyperlink" Id="rId667" Target="https://doi.org/10.1016/j.envpol.2021.117731" TargetMode="External" /><Relationship Type="http://schemas.openxmlformats.org/officeDocument/2006/relationships/hyperlink" Id="rId490" Target="https://doi.org/10.1016/j.jembe.2013.04.012" TargetMode="External" /><Relationship Type="http://schemas.openxmlformats.org/officeDocument/2006/relationships/hyperlink" Id="rId755" Target="https://doi.org/10.1016/j.jphotobiol.2013.10.005" TargetMode="External" /><Relationship Type="http://schemas.openxmlformats.org/officeDocument/2006/relationships/hyperlink" Id="rId877" Target="https://doi.org/10.1016/j.marenvres.2021.105475" TargetMode="External" /><Relationship Type="http://schemas.openxmlformats.org/officeDocument/2006/relationships/hyperlink" Id="rId924" Target="https://doi.org/10.1016/j.marpolbul.2017.06.075" TargetMode="External" /><Relationship Type="http://schemas.openxmlformats.org/officeDocument/2006/relationships/hyperlink" Id="rId952" Target="https://doi.org/10.1016/j.ress.2015.05.018" TargetMode="External" /><Relationship Type="http://schemas.openxmlformats.org/officeDocument/2006/relationships/hyperlink" Id="rId492" Target="https://doi.org/10.1016/j.rse.2010.12.008" TargetMode="External" /><Relationship Type="http://schemas.openxmlformats.org/officeDocument/2006/relationships/hyperlink" Id="rId594" Target="https://doi.org/10.1016/j.rse.2015.01.027" TargetMode="External" /><Relationship Type="http://schemas.openxmlformats.org/officeDocument/2006/relationships/hyperlink" Id="rId659" Target="https://doi.org/10.1016/j.rse.2015.05.023" TargetMode="External" /><Relationship Type="http://schemas.openxmlformats.org/officeDocument/2006/relationships/hyperlink" Id="rId670" Target="https://doi.org/10.1016/j.rse.2017.01.037" TargetMode="External" /><Relationship Type="http://schemas.openxmlformats.org/officeDocument/2006/relationships/hyperlink" Id="rId574" Target="https://doi.org/10.1016/j.rse.2023.113554" TargetMode="External" /><Relationship Type="http://schemas.openxmlformats.org/officeDocument/2006/relationships/hyperlink" Id="rId579" Target="https://doi.org/10.1016/j.rse.2024.114340" TargetMode="External" /><Relationship Type="http://schemas.openxmlformats.org/officeDocument/2006/relationships/hyperlink" Id="rId506" Target="https://doi.org/10.1016/j.seares.2014.02.014" TargetMode="External" /><Relationship Type="http://schemas.openxmlformats.org/officeDocument/2006/relationships/hyperlink" Id="rId771" Target="https://doi.org/10.1017/s0031182002001476" TargetMode="External" /><Relationship Type="http://schemas.openxmlformats.org/officeDocument/2006/relationships/hyperlink" Id="rId856" Target="https://doi.org/10.1029/2023GL103540" TargetMode="External" /><Relationship Type="http://schemas.openxmlformats.org/officeDocument/2006/relationships/hyperlink" Id="rId889" Target="https://doi.org/10.1038/s41467-022-35571-0" TargetMode="External" /><Relationship Type="http://schemas.openxmlformats.org/officeDocument/2006/relationships/hyperlink" Id="rId895" Target="https://doi.org/10.1038/s41558-019-0412-1" TargetMode="External" /><Relationship Type="http://schemas.openxmlformats.org/officeDocument/2006/relationships/hyperlink" Id="rId781" Target="https://doi.org/10.1038/s41586-018-0805-8" TargetMode="External" /><Relationship Type="http://schemas.openxmlformats.org/officeDocument/2006/relationships/hyperlink" Id="rId744" Target="https://doi.org/10.1038/s41598-019-50643-w" TargetMode="External" /><Relationship Type="http://schemas.openxmlformats.org/officeDocument/2006/relationships/hyperlink" Id="rId767" Target="https://doi.org/10.1038/s41598-021-83597-z" TargetMode="External" /><Relationship Type="http://schemas.openxmlformats.org/officeDocument/2006/relationships/hyperlink" Id="rId577" Target="https://doi.org/10.1038/s43247-024-01543-z" TargetMode="External" /><Relationship Type="http://schemas.openxmlformats.org/officeDocument/2006/relationships/hyperlink" Id="rId703" Target="https://doi.org/10.1063/1.44433" TargetMode="External" /><Relationship Type="http://schemas.openxmlformats.org/officeDocument/2006/relationships/hyperlink" Id="rId672" Target="https://doi.org/10.1073/pnas.0402642101" TargetMode="External" /><Relationship Type="http://schemas.openxmlformats.org/officeDocument/2006/relationships/hyperlink" Id="rId843" Target="https://doi.org/10.1073/pnas.0500008102" TargetMode="External" /><Relationship Type="http://schemas.openxmlformats.org/officeDocument/2006/relationships/hyperlink" Id="rId760" Target="https://doi.org/10.1080/17445647.2021.1925170" TargetMode="External" /><Relationship Type="http://schemas.openxmlformats.org/officeDocument/2006/relationships/hyperlink" Id="rId764" Target="https://doi.org/10.1111/GCB.14108" TargetMode="External" /><Relationship Type="http://schemas.openxmlformats.org/officeDocument/2006/relationships/hyperlink" Id="rId810" Target="https://doi.org/10.1111/gcb.14282" TargetMode="External" /><Relationship Type="http://schemas.openxmlformats.org/officeDocument/2006/relationships/hyperlink" Id="rId941" Target="https://doi.org/10.1127/0340-269X/2003/0033-0187" TargetMode="External" /><Relationship Type="http://schemas.openxmlformats.org/officeDocument/2006/relationships/hyperlink" Id="rId905" Target="https://doi.org/10.1152/physiol.00040.2018" TargetMode="External" /><Relationship Type="http://schemas.openxmlformats.org/officeDocument/2006/relationships/hyperlink" Id="rId963" Target="https://doi.org/10.1155/2017/1353691" TargetMode="External" /><Relationship Type="http://schemas.openxmlformats.org/officeDocument/2006/relationships/hyperlink" Id="rId689" Target="https://doi.org/10.1177/0309133309339563" TargetMode="External" /><Relationship Type="http://schemas.openxmlformats.org/officeDocument/2006/relationships/hyperlink" Id="rId581" Target="https://doi.org/10.15468/n4ak6x" TargetMode="External" /><Relationship Type="http://schemas.openxmlformats.org/officeDocument/2006/relationships/hyperlink" Id="rId936" Target="https://doi.org/10.1641/0006-3568(2004)054[0523:UISTSE]2.0.CO;2" TargetMode="External" /><Relationship Type="http://schemas.openxmlformats.org/officeDocument/2006/relationships/hyperlink" Id="rId535" Target="https://doi.org/10.18637/jss.v076.i01" TargetMode="External" /><Relationship Type="http://schemas.openxmlformats.org/officeDocument/2006/relationships/hyperlink" Id="rId960" Target="https://doi.org/10.18637/jss.v077.i01" TargetMode="External" /><Relationship Type="http://schemas.openxmlformats.org/officeDocument/2006/relationships/hyperlink" Id="rId524" Target="https://doi.org/10.18637/jss.v080.i01" TargetMode="External" /><Relationship Type="http://schemas.openxmlformats.org/officeDocument/2006/relationships/hyperlink" Id="rId520" Target="https://doi.org/10.18637/jss.v100.i05" TargetMode="External" /><Relationship Type="http://schemas.openxmlformats.org/officeDocument/2006/relationships/hyperlink" Id="rId871" Target="https://doi.org/10.21105/joss.00821" TargetMode="External" /><Relationship Type="http://schemas.openxmlformats.org/officeDocument/2006/relationships/hyperlink" Id="rId893" Target="https://doi.org/10.2307/2657019" TargetMode="External" /><Relationship Type="http://schemas.openxmlformats.org/officeDocument/2006/relationships/hyperlink" Id="rId616" Target="https://doi.org/10.2785/7794" TargetMode="External" /><Relationship Type="http://schemas.openxmlformats.org/officeDocument/2006/relationships/hyperlink" Id="rId522" Target="https://doi.org/10.32614/RJ-2018-017" TargetMode="External" /><Relationship Type="http://schemas.openxmlformats.org/officeDocument/2006/relationships/hyperlink" Id="rId643" Target="https://doi.org/10.32614/RJ-2020-013" TargetMode="External" /><Relationship Type="http://schemas.openxmlformats.org/officeDocument/2006/relationships/hyperlink" Id="rId503" Target="https://doi.org/10.3354/meps14588" TargetMode="External" /><Relationship Type="http://schemas.openxmlformats.org/officeDocument/2006/relationships/hyperlink" Id="rId869" Target="https://doi.org/10.3389/fevo.2021.767548" TargetMode="External" /><Relationship Type="http://schemas.openxmlformats.org/officeDocument/2006/relationships/hyperlink" Id="rId804" Target="https://doi.org/10.3389/fmars.2019.00734" TargetMode="External" /><Relationship Type="http://schemas.openxmlformats.org/officeDocument/2006/relationships/hyperlink" Id="rId516" Target="https://doi.org/10.3390/RS14020307" TargetMode="External" /><Relationship Type="http://schemas.openxmlformats.org/officeDocument/2006/relationships/hyperlink" Id="rId657" Target="https://doi.org/10.3390/app8122688" TargetMode="External" /><Relationship Type="http://schemas.openxmlformats.org/officeDocument/2006/relationships/hyperlink" Id="rId968" Target="https://doi.org/10.3390/d14121077" TargetMode="External" /><Relationship Type="http://schemas.openxmlformats.org/officeDocument/2006/relationships/hyperlink" Id="rId741" Target="https://doi.org/10.3390/d15020161" TargetMode="External" /><Relationship Type="http://schemas.openxmlformats.org/officeDocument/2006/relationships/hyperlink" Id="rId757" Target="https://doi.org/10.3390/jmse11020367" TargetMode="External" /><Relationship Type="http://schemas.openxmlformats.org/officeDocument/2006/relationships/hyperlink" Id="rId747" Target="https://doi.org/10.3390/rs11060704" TargetMode="External" /><Relationship Type="http://schemas.openxmlformats.org/officeDocument/2006/relationships/hyperlink" Id="rId597" Target="https://doi.org/10.3390/rs14133124" TargetMode="External" /><Relationship Type="http://schemas.openxmlformats.org/officeDocument/2006/relationships/hyperlink" Id="rId800" Target="https://doi.org/10.3390/rs16234383" TargetMode="External" /><Relationship Type="http://schemas.openxmlformats.org/officeDocument/2006/relationships/hyperlink" Id="rId556" Target="https://doi.org/10.48670/moi-00311" TargetMode="External" /><Relationship Type="http://schemas.openxmlformats.org/officeDocument/2006/relationships/hyperlink" Id="rId813" Target="https://doi.org/10.5281/zenodo.3463051" TargetMode="External" /><Relationship Type="http://schemas.openxmlformats.org/officeDocument/2006/relationships/hyperlink" Id="rId608" Target="https://electricblue.eu/intertidal-chamber" TargetMode="External" /><Relationship Type="http://schemas.openxmlformats.org/officeDocument/2006/relationships/hyperlink" Id="rId403"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514" Target="https://ipbes.net/global-assessment%0Ahttps://ipbes.net/global-assessment-report-biodiversity-ecosystem-services" TargetMode="External" /><Relationship Type="http://schemas.openxmlformats.org/officeDocument/2006/relationships/hyperlink" Id="rId815" Target="https://marinespecies.org/aphia.php?p = sourcedetails&amp;id = 303450" TargetMode="External" /><Relationship Type="http://schemas.openxmlformats.org/officeDocument/2006/relationships/hyperlink" Id="rId928" Target="https://maritime-union.org/how-much-trade-is-maritime" TargetMode="External" /><Relationship Type="http://schemas.openxmlformats.org/officeDocument/2006/relationships/hyperlink" Id="rId797"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81" Target="https://services.data.shom.fr/geonetwork/srv/fre/catalog.search#/metadata/BATHYMETRIE_LITTO3D_BZH_2018_2021.xml" TargetMode="External" /><Relationship Type="http://schemas.openxmlformats.org/officeDocument/2006/relationships/hyperlink" Id="rId830" Target="https://www.R-project.org/" TargetMode="External" /><Relationship Type="http://schemas.openxmlformats.org/officeDocument/2006/relationships/hyperlink" Id="rId474" Target="https://www.agisoft.com/" TargetMode="External" /><Relationship Type="http://schemas.openxmlformats.org/officeDocument/2006/relationships/hyperlink" Id="rId28" Target="https://www.dlr.de/en" TargetMode="External" /><Relationship Type="http://schemas.openxmlformats.org/officeDocument/2006/relationships/hyperlink" Id="rId674" Target="https://www.ign.fr" TargetMode="External" /><Relationship Type="http://schemas.openxmlformats.org/officeDocument/2006/relationships/hyperlink" Id="rId618" Target="https://www.imo.org" TargetMode="External" /><Relationship Type="http://schemas.openxmlformats.org/officeDocument/2006/relationships/hyperlink" Id="rId678" Target="https://www.ioc-sealevelmonitoring.org/station.php?code = lecy" TargetMode="External" /><Relationship Type="http://schemas.openxmlformats.org/officeDocument/2006/relationships/hyperlink" Id="rId681" Target="https://www.itopf.org/knowledge-resources/data-statistics/statistics/" TargetMode="External" /><Relationship Type="http://schemas.openxmlformats.org/officeDocument/2006/relationships/hyperlink" Id="rId733" Target="https://www.malvernpanalytical.com/en/support/product-support/software/rs3" TargetMode="External" /><Relationship Type="http://schemas.openxmlformats.org/officeDocument/2006/relationships/hyperlink" Id="rId828" Target="https://www.qgis.org" TargetMode="External" /><Relationship Type="http://schemas.openxmlformats.org/officeDocument/2006/relationships/hyperlink" Id="rId845" Target="https://www.reuters.com/business/environment/aquafarming-becomes-main-global-source-fish-un-food-agency-says-2024-06-07/" TargetMode="External" /><Relationship Type="http://schemas.openxmlformats.org/officeDocument/2006/relationships/hyperlink" Id="rId883" Target="https://www.shom.fr" TargetMode="External" /><Relationship Type="http://schemas.openxmlformats.org/officeDocument/2006/relationships/hyperlink" Id="rId707"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2025-01-18T19:21:33Z</dcterms:created>
  <dcterms:modified xsi:type="dcterms:W3CDTF">2025-01-18T19:21:33Z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